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ED3A27" w14:textId="77777777" w:rsidR="00737ACF" w:rsidRPr="002A63BA" w:rsidRDefault="00737ACF" w:rsidP="00FF3EE4">
      <w:pPr>
        <w:spacing w:line="276" w:lineRule="auto"/>
        <w:jc w:val="center"/>
        <w:rPr>
          <w:rFonts w:ascii="Open Sans" w:hAnsi="Open Sans" w:cs="Open Sans"/>
          <w:b/>
          <w:sz w:val="32"/>
          <w:szCs w:val="32"/>
        </w:rPr>
      </w:pPr>
    </w:p>
    <w:p w14:paraId="776603B5" w14:textId="77777777" w:rsidR="00737ACF" w:rsidRPr="002A63BA" w:rsidRDefault="00737ACF" w:rsidP="00FF3EE4">
      <w:pPr>
        <w:spacing w:line="276" w:lineRule="auto"/>
        <w:jc w:val="center"/>
        <w:rPr>
          <w:rFonts w:ascii="Open Sans" w:hAnsi="Open Sans" w:cs="Open Sans"/>
          <w:b/>
          <w:sz w:val="32"/>
          <w:szCs w:val="32"/>
        </w:rPr>
      </w:pPr>
    </w:p>
    <w:p w14:paraId="3AE1B8FD" w14:textId="77777777" w:rsidR="00737ACF" w:rsidRPr="002A63BA" w:rsidRDefault="00737ACF" w:rsidP="00FF3EE4">
      <w:pPr>
        <w:spacing w:line="276" w:lineRule="auto"/>
        <w:jc w:val="center"/>
        <w:rPr>
          <w:rFonts w:ascii="Open Sans" w:hAnsi="Open Sans" w:cs="Open Sans"/>
          <w:b/>
          <w:sz w:val="32"/>
          <w:szCs w:val="32"/>
        </w:rPr>
      </w:pPr>
    </w:p>
    <w:p w14:paraId="2CCC0FDD" w14:textId="77777777" w:rsidR="00737ACF" w:rsidRPr="002A63BA" w:rsidRDefault="00737ACF" w:rsidP="00FF3EE4">
      <w:pPr>
        <w:spacing w:line="276" w:lineRule="auto"/>
        <w:jc w:val="center"/>
        <w:rPr>
          <w:rFonts w:ascii="Open Sans" w:hAnsi="Open Sans" w:cs="Open Sans"/>
          <w:b/>
          <w:sz w:val="32"/>
          <w:szCs w:val="32"/>
        </w:rPr>
      </w:pPr>
    </w:p>
    <w:p w14:paraId="50E5730D" w14:textId="77777777" w:rsidR="00737ACF" w:rsidRPr="002A63BA" w:rsidRDefault="00737ACF" w:rsidP="00FF3EE4">
      <w:pPr>
        <w:spacing w:line="276" w:lineRule="auto"/>
        <w:jc w:val="center"/>
        <w:rPr>
          <w:rFonts w:ascii="Open Sans" w:hAnsi="Open Sans" w:cs="Open Sans"/>
          <w:b/>
          <w:sz w:val="32"/>
          <w:szCs w:val="32"/>
        </w:rPr>
      </w:pPr>
    </w:p>
    <w:p w14:paraId="57368FC3" w14:textId="77777777" w:rsidR="00737ACF" w:rsidRPr="002A63BA" w:rsidRDefault="00737ACF" w:rsidP="00FF3EE4">
      <w:pPr>
        <w:spacing w:line="276" w:lineRule="auto"/>
        <w:jc w:val="center"/>
        <w:rPr>
          <w:rFonts w:ascii="Open Sans" w:hAnsi="Open Sans" w:cs="Open Sans"/>
          <w:b/>
          <w:sz w:val="32"/>
          <w:szCs w:val="32"/>
        </w:rPr>
      </w:pPr>
    </w:p>
    <w:p w14:paraId="2D8CD2F7" w14:textId="77777777" w:rsidR="00737ACF" w:rsidRPr="002A63BA" w:rsidRDefault="00737ACF" w:rsidP="00FF3EE4">
      <w:pPr>
        <w:spacing w:line="276" w:lineRule="auto"/>
        <w:jc w:val="center"/>
        <w:rPr>
          <w:rFonts w:ascii="Open Sans" w:hAnsi="Open Sans" w:cs="Open Sans"/>
          <w:b/>
          <w:sz w:val="32"/>
          <w:szCs w:val="32"/>
        </w:rPr>
      </w:pPr>
    </w:p>
    <w:p w14:paraId="67A58C41" w14:textId="633619E8" w:rsidR="00737ACF" w:rsidRPr="002A63BA" w:rsidRDefault="00737ACF" w:rsidP="00FF3EE4">
      <w:pPr>
        <w:spacing w:line="276" w:lineRule="auto"/>
        <w:jc w:val="center"/>
        <w:rPr>
          <w:rFonts w:ascii="Open Sans" w:hAnsi="Open Sans" w:cs="Open Sans"/>
          <w:b/>
          <w:sz w:val="32"/>
          <w:szCs w:val="32"/>
        </w:rPr>
      </w:pPr>
      <w:r w:rsidRPr="002A63BA">
        <w:rPr>
          <w:rFonts w:ascii="Open Sans" w:hAnsi="Open Sans" w:cs="Open Sans"/>
          <w:b/>
          <w:sz w:val="32"/>
          <w:szCs w:val="32"/>
        </w:rPr>
        <w:t xml:space="preserve">SMART CITIES DEVELOPMENT AND TRENDS: </w:t>
      </w:r>
      <w:r w:rsidRPr="002A63BA">
        <w:rPr>
          <w:rFonts w:ascii="Open Sans" w:hAnsi="Open Sans" w:cs="Open Sans"/>
          <w:b/>
          <w:sz w:val="32"/>
          <w:szCs w:val="32"/>
        </w:rPr>
        <w:br/>
        <w:t>CASES AND RESEARCH OPPORTUNITIES</w:t>
      </w:r>
    </w:p>
    <w:p w14:paraId="43AA12FF" w14:textId="77777777" w:rsidR="00737ACF" w:rsidRPr="002A63BA" w:rsidRDefault="00737ACF" w:rsidP="00FF3EE4">
      <w:pPr>
        <w:spacing w:line="276" w:lineRule="auto"/>
        <w:jc w:val="center"/>
        <w:rPr>
          <w:rFonts w:ascii="Open Sans" w:hAnsi="Open Sans" w:cs="Open Sans"/>
        </w:rPr>
      </w:pPr>
    </w:p>
    <w:p w14:paraId="550295D8" w14:textId="25478445" w:rsidR="00737ACF" w:rsidRPr="002A63BA" w:rsidRDefault="00737ACF" w:rsidP="00FF3EE4">
      <w:pPr>
        <w:spacing w:line="276" w:lineRule="auto"/>
        <w:jc w:val="center"/>
        <w:rPr>
          <w:rFonts w:ascii="Open Sans" w:hAnsi="Open Sans" w:cs="Open Sans"/>
        </w:rPr>
      </w:pPr>
      <w:r w:rsidRPr="002A63BA">
        <w:rPr>
          <w:rFonts w:ascii="Open Sans" w:hAnsi="Open Sans" w:cs="Open Sans"/>
        </w:rPr>
        <w:t>Editors: Maja Ćukušić, Anton Manfreda and Mario Jadrić</w:t>
      </w:r>
    </w:p>
    <w:p w14:paraId="70781235" w14:textId="69290605" w:rsidR="00737ACF" w:rsidRPr="002A63BA" w:rsidRDefault="00737ACF" w:rsidP="00FF3EE4">
      <w:pPr>
        <w:spacing w:line="276" w:lineRule="auto"/>
        <w:jc w:val="center"/>
        <w:rPr>
          <w:rFonts w:ascii="Open Sans" w:hAnsi="Open Sans" w:cs="Open Sans"/>
          <w:b/>
          <w:sz w:val="24"/>
          <w:szCs w:val="24"/>
        </w:rPr>
      </w:pPr>
    </w:p>
    <w:p w14:paraId="65D8E6F9" w14:textId="77777777" w:rsidR="00737ACF" w:rsidRPr="002A63BA" w:rsidRDefault="00737ACF" w:rsidP="00FF3EE4">
      <w:pPr>
        <w:spacing w:line="276" w:lineRule="auto"/>
        <w:jc w:val="left"/>
        <w:rPr>
          <w:rFonts w:ascii="Open Sans" w:hAnsi="Open Sans" w:cs="Open Sans"/>
          <w:b/>
          <w:sz w:val="24"/>
          <w:szCs w:val="24"/>
        </w:rPr>
      </w:pPr>
      <w:r w:rsidRPr="002A63BA">
        <w:rPr>
          <w:rFonts w:ascii="Open Sans" w:hAnsi="Open Sans" w:cs="Open Sans"/>
          <w:b/>
          <w:sz w:val="24"/>
          <w:szCs w:val="24"/>
        </w:rPr>
        <w:br w:type="page"/>
      </w:r>
    </w:p>
    <w:p w14:paraId="34DEF9FC" w14:textId="77777777" w:rsidR="00737ACF" w:rsidRPr="002A63BA" w:rsidRDefault="00737ACF" w:rsidP="00FF3EE4">
      <w:pPr>
        <w:spacing w:line="276" w:lineRule="auto"/>
        <w:jc w:val="center"/>
        <w:rPr>
          <w:rFonts w:ascii="Open Sans" w:hAnsi="Open Sans" w:cs="Open Sans"/>
          <w:b/>
          <w:sz w:val="24"/>
          <w:szCs w:val="24"/>
        </w:rPr>
      </w:pPr>
    </w:p>
    <w:p w14:paraId="6D77DB9D" w14:textId="4C4E53D2" w:rsidR="00737ACF" w:rsidRPr="002A63BA" w:rsidRDefault="00737ACF" w:rsidP="00FF3EE4">
      <w:pPr>
        <w:spacing w:line="276" w:lineRule="auto"/>
        <w:jc w:val="left"/>
        <w:rPr>
          <w:rFonts w:ascii="Open Sans" w:hAnsi="Open Sans" w:cs="Open Sans"/>
          <w:b/>
          <w:sz w:val="24"/>
          <w:szCs w:val="24"/>
        </w:rPr>
      </w:pPr>
      <w:r w:rsidRPr="002A63BA">
        <w:rPr>
          <w:rFonts w:ascii="Open Sans" w:hAnsi="Open Sans" w:cs="Open Sans"/>
          <w:b/>
          <w:sz w:val="24"/>
          <w:szCs w:val="24"/>
        </w:rPr>
        <w:br w:type="page"/>
      </w:r>
    </w:p>
    <w:p w14:paraId="1CD5DE94" w14:textId="77777777" w:rsidR="00737ACF" w:rsidRPr="002A63BA" w:rsidRDefault="00737ACF" w:rsidP="00FF3EE4">
      <w:pPr>
        <w:spacing w:line="276" w:lineRule="auto"/>
        <w:jc w:val="left"/>
        <w:rPr>
          <w:rFonts w:ascii="Open Sans" w:hAnsi="Open Sans" w:cs="Open Sans"/>
          <w:b/>
          <w:sz w:val="24"/>
          <w:szCs w:val="24"/>
        </w:rPr>
      </w:pPr>
      <w:r w:rsidRPr="002A63BA">
        <w:rPr>
          <w:rFonts w:ascii="Open Sans" w:hAnsi="Open Sans" w:cs="Open Sans"/>
          <w:b/>
          <w:sz w:val="24"/>
          <w:szCs w:val="24"/>
        </w:rPr>
        <w:lastRenderedPageBreak/>
        <w:t>PREFACE</w:t>
      </w:r>
    </w:p>
    <w:p w14:paraId="7FFA7A71" w14:textId="77777777" w:rsidR="00236348" w:rsidRPr="002A63BA" w:rsidRDefault="00737ACF" w:rsidP="00FF3EE4">
      <w:pPr>
        <w:spacing w:line="276" w:lineRule="auto"/>
        <w:rPr>
          <w:rFonts w:ascii="Open Sans" w:hAnsi="Open Sans" w:cs="Open Sans"/>
        </w:rPr>
      </w:pPr>
      <w:r w:rsidRPr="002A63BA">
        <w:rPr>
          <w:rFonts w:ascii="Open Sans" w:hAnsi="Open Sans" w:cs="Open Sans"/>
        </w:rPr>
        <w:t>The content of this book is intended to contribute to challenges of managing a smart city, technology acceptance issues and new underlying business models. The book provide theoretical and empirical underpinnings regarding the development and current trends of the smart city concept together with proposing future research opportunities.</w:t>
      </w:r>
      <w:r w:rsidR="00236348" w:rsidRPr="002A63BA">
        <w:rPr>
          <w:rFonts w:ascii="Open Sans" w:hAnsi="Open Sans" w:cs="Open Sans"/>
        </w:rPr>
        <w:t xml:space="preserve"> </w:t>
      </w:r>
    </w:p>
    <w:p w14:paraId="09118CE8" w14:textId="77777777" w:rsidR="00236348" w:rsidRPr="002A63BA" w:rsidRDefault="00236348" w:rsidP="00FF3EE4">
      <w:pPr>
        <w:spacing w:line="276" w:lineRule="auto"/>
        <w:rPr>
          <w:rFonts w:ascii="Open Sans" w:hAnsi="Open Sans" w:cs="Open Sans"/>
        </w:rPr>
      </w:pPr>
      <w:r w:rsidRPr="002A63BA">
        <w:rPr>
          <w:rFonts w:ascii="Open Sans" w:hAnsi="Open Sans" w:cs="Open Sans"/>
        </w:rPr>
        <w:t>Researchers agree that 5G technology and digital transformation is crucial for the development of smart cities and smart public administration. The concept of smart cities derives from the global trend of urbanization. According to United Nations Population Fund, the latest figures show that population share in the cities doubled in the last few years and is expected to reach over 70% of total population by the end of 2050. Consequently, cities need to cope with the related and the upcoming changes/challenges while cities branded as ‘smart’ need to keep or reach high standard of quality of life of their citizens. With the popularization of the smart city concept and through the implementation of the digital transformation projects in the public administration, information services are radically changed, heavily impacting systems in urban environment. In an effort to identify and explore the challenges, the potential and the priorities for the implementation of smart city applications cities often encounter problems that are complex, assuming considerable uncertainty.</w:t>
      </w:r>
    </w:p>
    <w:p w14:paraId="12C75B1A" w14:textId="15EFEA2C" w:rsidR="00737ACF" w:rsidRPr="002A63BA" w:rsidRDefault="00737ACF" w:rsidP="00FF3EE4">
      <w:pPr>
        <w:spacing w:line="276" w:lineRule="auto"/>
        <w:rPr>
          <w:rFonts w:ascii="Open Sans" w:hAnsi="Open Sans" w:cs="Open Sans"/>
        </w:rPr>
      </w:pPr>
      <w:r w:rsidRPr="002A63BA">
        <w:rPr>
          <w:rFonts w:ascii="Open Sans" w:hAnsi="Open Sans" w:cs="Open Sans"/>
        </w:rPr>
        <w:t xml:space="preserve">Managing digitalization is becoming increasingly demanding due to rapidly evolving innovations and the difficulty of managing the complexity of related technologies. However, these issues are not challenging for organizations and individuals only, but also for cities and local communities. In particular, cities are faced with major challenges arising from global shifts in the environment, rapid urbanization and older infrastructure. As a result, several smart city-related initiatives are emerging. Yet, not all successful. The book </w:t>
      </w:r>
      <w:r w:rsidR="00236348" w:rsidRPr="002A63BA">
        <w:rPr>
          <w:rFonts w:ascii="Open Sans" w:hAnsi="Open Sans" w:cs="Open Sans"/>
        </w:rPr>
        <w:t>is</w:t>
      </w:r>
      <w:r w:rsidRPr="002A63BA">
        <w:rPr>
          <w:rFonts w:ascii="Open Sans" w:hAnsi="Open Sans" w:cs="Open Sans"/>
        </w:rPr>
        <w:t xml:space="preserve"> thus focus on the analysis of new business models, technological innovations and their use related to </w:t>
      </w:r>
      <w:r w:rsidRPr="002A63BA">
        <w:rPr>
          <w:rFonts w:ascii="Open Sans" w:hAnsi="Open Sans" w:cs="Open Sans"/>
        </w:rPr>
        <w:lastRenderedPageBreak/>
        <w:t>the development of smart cities. After all, the spread of technology and the availability of data automatically collected generate create new opportunities for managing public services and for the creation of new services.</w:t>
      </w:r>
    </w:p>
    <w:p w14:paraId="4CF5F286" w14:textId="6B732CB9" w:rsidR="00737ACF" w:rsidRPr="002A63BA" w:rsidRDefault="00737ACF" w:rsidP="00FF3EE4">
      <w:pPr>
        <w:spacing w:line="276" w:lineRule="auto"/>
        <w:rPr>
          <w:rFonts w:ascii="Open Sans" w:hAnsi="Open Sans" w:cs="Open Sans"/>
        </w:rPr>
      </w:pPr>
      <w:r w:rsidRPr="002A63BA">
        <w:rPr>
          <w:rFonts w:ascii="Open Sans" w:hAnsi="Open Sans" w:cs="Open Sans"/>
        </w:rPr>
        <w:t xml:space="preserve">The primary audience of this book will be </w:t>
      </w:r>
      <w:r w:rsidR="00236348" w:rsidRPr="002A63BA">
        <w:rPr>
          <w:rFonts w:ascii="Open Sans" w:hAnsi="Open Sans" w:cs="Open Sans"/>
        </w:rPr>
        <w:t xml:space="preserve">students, </w:t>
      </w:r>
      <w:r w:rsidRPr="002A63BA">
        <w:rPr>
          <w:rFonts w:ascii="Open Sans" w:hAnsi="Open Sans" w:cs="Open Sans"/>
        </w:rPr>
        <w:t>academics interested in the smart city concept, government organizations, managers, policy makers, and strategic planners who intend to understand emerging digital technologies, their impact and applicability on cities.</w:t>
      </w:r>
      <w:r w:rsidR="00B37F83" w:rsidRPr="002A63BA">
        <w:rPr>
          <w:rFonts w:ascii="Open Sans" w:hAnsi="Open Sans" w:cs="Open Sans"/>
        </w:rPr>
        <w:t xml:space="preserve"> </w:t>
      </w:r>
      <w:r w:rsidRPr="002A63BA">
        <w:rPr>
          <w:rFonts w:ascii="Open Sans" w:hAnsi="Open Sans" w:cs="Open Sans"/>
        </w:rPr>
        <w:t>The book include strategies to implement and manage digital technologies together with the discussion on new business models. The Chapters in this</w:t>
      </w:r>
      <w:r w:rsidR="00236348" w:rsidRPr="002A63BA">
        <w:rPr>
          <w:rFonts w:ascii="Open Sans" w:hAnsi="Open Sans" w:cs="Open Sans"/>
        </w:rPr>
        <w:t xml:space="preserve"> Book</w:t>
      </w:r>
      <w:r w:rsidRPr="002A63BA">
        <w:rPr>
          <w:rFonts w:ascii="Open Sans" w:hAnsi="Open Sans" w:cs="Open Sans"/>
        </w:rPr>
        <w:t xml:space="preserve"> are grouped in two parts – part one includes general theoretical and technical discussions of technologies and their benefits for modern cities and part two includes use cases of different digital technologies and business models.</w:t>
      </w:r>
      <w:r w:rsidR="00B37F83" w:rsidRPr="002A63BA">
        <w:rPr>
          <w:rFonts w:ascii="Open Sans" w:hAnsi="Open Sans" w:cs="Open Sans"/>
        </w:rPr>
        <w:t xml:space="preserve"> </w:t>
      </w:r>
    </w:p>
    <w:p w14:paraId="73F276A7" w14:textId="41D5C797" w:rsidR="003A0B9B" w:rsidRPr="002A63BA" w:rsidRDefault="00737ACF" w:rsidP="00FF3EE4">
      <w:pPr>
        <w:spacing w:line="276" w:lineRule="auto"/>
        <w:jc w:val="left"/>
        <w:rPr>
          <w:rFonts w:ascii="Open Sans" w:hAnsi="Open Sans" w:cs="Open Sans"/>
          <w:b/>
          <w:sz w:val="24"/>
          <w:szCs w:val="24"/>
        </w:rPr>
      </w:pPr>
      <w:r w:rsidRPr="002A63BA">
        <w:rPr>
          <w:rFonts w:ascii="Open Sans" w:hAnsi="Open Sans" w:cs="Open Sans"/>
          <w:b/>
          <w:sz w:val="24"/>
          <w:szCs w:val="24"/>
        </w:rPr>
        <w:br w:type="page"/>
      </w:r>
    </w:p>
    <w:p w14:paraId="4156CBC4" w14:textId="77777777" w:rsidR="003A0B9B" w:rsidRPr="002A63BA" w:rsidRDefault="003A0B9B" w:rsidP="00FF3EE4">
      <w:pPr>
        <w:spacing w:line="276" w:lineRule="auto"/>
        <w:jc w:val="left"/>
        <w:rPr>
          <w:rFonts w:ascii="Open Sans" w:hAnsi="Open Sans" w:cs="Open Sans"/>
          <w:b/>
          <w:sz w:val="24"/>
          <w:szCs w:val="24"/>
        </w:rPr>
      </w:pPr>
      <w:r w:rsidRPr="002A63BA">
        <w:rPr>
          <w:rFonts w:ascii="Open Sans" w:hAnsi="Open Sans" w:cs="Open Sans"/>
          <w:b/>
          <w:sz w:val="24"/>
          <w:szCs w:val="24"/>
        </w:rPr>
        <w:lastRenderedPageBreak/>
        <w:br w:type="page"/>
      </w:r>
    </w:p>
    <w:p w14:paraId="626B1A1D" w14:textId="095C2B69" w:rsidR="003A0B9B" w:rsidRPr="002A63BA" w:rsidRDefault="003A0B9B" w:rsidP="00FF3EE4">
      <w:pPr>
        <w:spacing w:line="276" w:lineRule="auto"/>
        <w:jc w:val="left"/>
        <w:rPr>
          <w:rFonts w:ascii="Open Sans" w:hAnsi="Open Sans" w:cs="Open Sans"/>
          <w:b/>
          <w:sz w:val="24"/>
          <w:szCs w:val="24"/>
        </w:rPr>
      </w:pPr>
      <w:r w:rsidRPr="002A63BA">
        <w:rPr>
          <w:rFonts w:ascii="Open Sans" w:hAnsi="Open Sans" w:cs="Open Sans"/>
          <w:b/>
          <w:sz w:val="24"/>
          <w:szCs w:val="24"/>
        </w:rPr>
        <w:lastRenderedPageBreak/>
        <w:t>CONTENT</w:t>
      </w:r>
    </w:p>
    <w:p w14:paraId="2FFA063B" w14:textId="25CDC9EC" w:rsidR="003A0B9B" w:rsidRPr="002A63BA" w:rsidRDefault="003A0B9B" w:rsidP="00FF3EE4">
      <w:pPr>
        <w:spacing w:line="276" w:lineRule="auto"/>
        <w:jc w:val="left"/>
        <w:rPr>
          <w:rFonts w:ascii="Open Sans" w:hAnsi="Open Sans" w:cs="Open Sans"/>
          <w:b/>
          <w:sz w:val="24"/>
          <w:szCs w:val="24"/>
        </w:rPr>
      </w:pPr>
    </w:p>
    <w:p w14:paraId="2E1D76D3" w14:textId="0C8CBD9D" w:rsidR="00265F5A" w:rsidRPr="002A63BA" w:rsidRDefault="00265F5A" w:rsidP="00FF3EE4">
      <w:pPr>
        <w:spacing w:line="276" w:lineRule="auto"/>
        <w:rPr>
          <w:rFonts w:ascii="Open Sans" w:hAnsi="Open Sans" w:cs="Open Sans"/>
          <w:b/>
        </w:rPr>
      </w:pPr>
      <w:r w:rsidRPr="002A63BA">
        <w:rPr>
          <w:rFonts w:ascii="Open Sans" w:hAnsi="Open Sans" w:cs="Open Sans"/>
          <w:b/>
        </w:rPr>
        <w:t>Part 1</w:t>
      </w:r>
    </w:p>
    <w:p w14:paraId="7055871F" w14:textId="1C2DB077" w:rsidR="00B37F83" w:rsidRPr="002A63BA" w:rsidRDefault="00265F5A"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THE EMERGING WORLD OF SMART CITIES: DEFINITIONS, RESEARCH INITIATIVES AND WORLDWIDE EXAMPLES</w:t>
      </w:r>
    </w:p>
    <w:p w14:paraId="2F1ED5EE" w14:textId="2CC7D52E" w:rsidR="00265F5A" w:rsidRPr="002A63BA" w:rsidRDefault="00265F5A"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ANTICIPATORY GOVERNANCE AND FORESIGHT: STATE OF THE ART AND IMPLICATIONS FOR URBAN DEVELOPMENT</w:t>
      </w:r>
    </w:p>
    <w:p w14:paraId="1AAA93FD" w14:textId="4C06447D" w:rsidR="00265F5A" w:rsidRPr="002A63BA" w:rsidRDefault="00265F5A"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MODELLING OF INTERNAL ORGANIZATION AND EXTERNAL CUSTOMER JOURNEYS IN SMART CITIES</w:t>
      </w:r>
    </w:p>
    <w:p w14:paraId="0A6C535D" w14:textId="1E535B9A" w:rsidR="00265F5A" w:rsidRPr="002A63BA" w:rsidRDefault="00265F5A"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ATTITUDE TOWARDS SMART CITY’S ELEMENTS – SELECTED TRENDS AND A COMPARATIVE STUDY BETWEEN DIFFERENT RESIDENTS</w:t>
      </w:r>
    </w:p>
    <w:p w14:paraId="7EEDEB8C" w14:textId="4669F021" w:rsidR="00265F5A" w:rsidRPr="002A63BA" w:rsidRDefault="00265F5A" w:rsidP="00FF3EE4">
      <w:pPr>
        <w:spacing w:line="276" w:lineRule="auto"/>
        <w:jc w:val="left"/>
        <w:rPr>
          <w:rFonts w:ascii="Open Sans" w:hAnsi="Open Sans" w:cs="Open Sans"/>
        </w:rPr>
      </w:pPr>
    </w:p>
    <w:p w14:paraId="568500A7" w14:textId="61199F70" w:rsidR="00265F5A" w:rsidRPr="002A63BA" w:rsidRDefault="00265F5A" w:rsidP="00FF3EE4">
      <w:pPr>
        <w:spacing w:line="276" w:lineRule="auto"/>
        <w:rPr>
          <w:rFonts w:ascii="Open Sans" w:hAnsi="Open Sans" w:cs="Open Sans"/>
          <w:b/>
        </w:rPr>
      </w:pPr>
      <w:r w:rsidRPr="002A63BA">
        <w:rPr>
          <w:rFonts w:ascii="Open Sans" w:hAnsi="Open Sans" w:cs="Open Sans"/>
          <w:b/>
        </w:rPr>
        <w:t>Part 2</w:t>
      </w:r>
    </w:p>
    <w:p w14:paraId="2F068320" w14:textId="12A6C316" w:rsidR="00BF3B91" w:rsidRPr="002A63BA" w:rsidRDefault="00D226A4"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CHALLENGES OF MANAGING A SMART CITY: ANALYSIS OF BUSINESS STUDENTS’ PERCEPTIONS</w:t>
      </w:r>
    </w:p>
    <w:p w14:paraId="2296E72E" w14:textId="153B0246" w:rsidR="00D226A4" w:rsidRPr="002A63BA" w:rsidRDefault="00D226A4"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CRITERIA EVALUATION FOR SELECTING IOT PLATFORMS IN SMART CITIES: EVIDENCE FROM CROATIA AND SLOVENIA</w:t>
      </w:r>
    </w:p>
    <w:p w14:paraId="13D2F732" w14:textId="4DEAA174" w:rsidR="00D226A4" w:rsidRPr="002A63BA" w:rsidRDefault="00D226A4"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DEVELOPING A CONCEPTUAL MODEL FOR SUSTAINABLE TRANSPORT INFRASTRUCTURE PLANNING: A SYSTEM THINKING APPROACH AND PRELIMINARY DYNAMIC MODELING</w:t>
      </w:r>
    </w:p>
    <w:p w14:paraId="3D40C5A5" w14:textId="68C20EB5" w:rsidR="00D226A4" w:rsidRPr="002A63BA" w:rsidRDefault="00D226A4" w:rsidP="00FF3EE4">
      <w:pPr>
        <w:pStyle w:val="Odlomakpopisa"/>
        <w:numPr>
          <w:ilvl w:val="0"/>
          <w:numId w:val="25"/>
        </w:numPr>
        <w:spacing w:line="276" w:lineRule="auto"/>
        <w:ind w:left="357" w:hanging="357"/>
        <w:rPr>
          <w:rFonts w:ascii="Open Sans" w:hAnsi="Open Sans" w:cs="Open Sans"/>
        </w:rPr>
      </w:pPr>
      <w:r w:rsidRPr="002A63BA">
        <w:rPr>
          <w:rFonts w:ascii="Open Sans" w:hAnsi="Open Sans" w:cs="Open Sans"/>
        </w:rPr>
        <w:t>DETERMINANTS OF ACCEPTANCE AND USE OF THE PUBLIC BIKE-SHARING SYSTEM</w:t>
      </w:r>
    </w:p>
    <w:p w14:paraId="055D0EA2" w14:textId="77777777" w:rsidR="00BF3B91" w:rsidRPr="002A63BA" w:rsidRDefault="00BF3B91" w:rsidP="00FF3EE4">
      <w:pPr>
        <w:spacing w:line="276" w:lineRule="auto"/>
        <w:rPr>
          <w:rFonts w:ascii="Open Sans" w:hAnsi="Open Sans" w:cs="Open Sans"/>
          <w:b/>
          <w:sz w:val="24"/>
          <w:szCs w:val="24"/>
        </w:rPr>
      </w:pPr>
    </w:p>
    <w:p w14:paraId="692DF768" w14:textId="77777777" w:rsidR="00265F5A" w:rsidRPr="002A63BA" w:rsidRDefault="00265F5A" w:rsidP="00FF3EE4">
      <w:pPr>
        <w:spacing w:line="276" w:lineRule="auto"/>
        <w:jc w:val="left"/>
        <w:rPr>
          <w:rFonts w:ascii="Open Sans" w:hAnsi="Open Sans" w:cs="Open Sans"/>
          <w:sz w:val="24"/>
          <w:szCs w:val="24"/>
        </w:rPr>
      </w:pPr>
    </w:p>
    <w:p w14:paraId="0E52DFC2" w14:textId="77777777" w:rsidR="00265F5A" w:rsidRPr="002A63BA" w:rsidRDefault="00265F5A" w:rsidP="00FF3EE4">
      <w:pPr>
        <w:spacing w:line="276" w:lineRule="auto"/>
        <w:rPr>
          <w:rFonts w:ascii="Open Sans" w:hAnsi="Open Sans" w:cs="Open Sans"/>
          <w:b/>
          <w:sz w:val="24"/>
          <w:szCs w:val="24"/>
        </w:rPr>
      </w:pPr>
    </w:p>
    <w:p w14:paraId="62C816F5" w14:textId="3125A5FF" w:rsidR="003A0B9B" w:rsidRPr="002A63BA" w:rsidRDefault="003A0B9B" w:rsidP="00FF3EE4">
      <w:pPr>
        <w:spacing w:line="276" w:lineRule="auto"/>
        <w:jc w:val="left"/>
        <w:rPr>
          <w:rFonts w:ascii="Open Sans" w:hAnsi="Open Sans" w:cs="Open Sans"/>
          <w:b/>
          <w:sz w:val="24"/>
          <w:szCs w:val="24"/>
        </w:rPr>
      </w:pPr>
    </w:p>
    <w:p w14:paraId="1D613308" w14:textId="3138E5AC" w:rsidR="00265F5A" w:rsidRPr="002A63BA" w:rsidRDefault="003A0B9B" w:rsidP="00FF3EE4">
      <w:pPr>
        <w:spacing w:line="276" w:lineRule="auto"/>
        <w:jc w:val="left"/>
        <w:rPr>
          <w:rFonts w:ascii="Open Sans" w:hAnsi="Open Sans" w:cs="Open Sans"/>
          <w:b/>
          <w:sz w:val="24"/>
          <w:szCs w:val="24"/>
        </w:rPr>
      </w:pPr>
      <w:r w:rsidRPr="002A63BA">
        <w:rPr>
          <w:rFonts w:ascii="Open Sans" w:hAnsi="Open Sans" w:cs="Open Sans"/>
          <w:b/>
          <w:sz w:val="24"/>
          <w:szCs w:val="24"/>
        </w:rPr>
        <w:br w:type="page"/>
      </w:r>
    </w:p>
    <w:p w14:paraId="41DC0858" w14:textId="34131E2E" w:rsidR="00265F5A" w:rsidRPr="002A63BA" w:rsidRDefault="00265F5A" w:rsidP="00FF3EE4">
      <w:pPr>
        <w:spacing w:line="276" w:lineRule="auto"/>
        <w:jc w:val="left"/>
        <w:rPr>
          <w:rFonts w:ascii="Open Sans" w:hAnsi="Open Sans" w:cs="Open Sans"/>
          <w:b/>
          <w:sz w:val="24"/>
          <w:szCs w:val="24"/>
        </w:rPr>
        <w:sectPr w:rsidR="00265F5A" w:rsidRPr="002A63BA" w:rsidSect="0069311F">
          <w:footerReference w:type="default" r:id="rId8"/>
          <w:type w:val="continuous"/>
          <w:pgSz w:w="10318" w:h="14570" w:code="13"/>
          <w:pgMar w:top="1440" w:right="1440" w:bottom="1440" w:left="1440" w:header="708" w:footer="708" w:gutter="0"/>
          <w:pgNumType w:start="1"/>
          <w:cols w:space="708"/>
          <w:titlePg/>
          <w:docGrid w:linePitch="360"/>
        </w:sectPr>
      </w:pPr>
      <w:r w:rsidRPr="002A63BA">
        <w:rPr>
          <w:rFonts w:ascii="Open Sans" w:hAnsi="Open Sans" w:cs="Open Sans"/>
          <w:b/>
          <w:sz w:val="24"/>
          <w:szCs w:val="24"/>
        </w:rPr>
        <w:lastRenderedPageBreak/>
        <w:br w:type="page"/>
      </w:r>
    </w:p>
    <w:p w14:paraId="1037E749" w14:textId="69DB148E" w:rsidR="00724AB4" w:rsidRPr="002A63BA" w:rsidRDefault="007C3C4B" w:rsidP="00FF3EE4">
      <w:pPr>
        <w:spacing w:line="276" w:lineRule="auto"/>
        <w:jc w:val="center"/>
        <w:rPr>
          <w:rFonts w:ascii="Open Sans" w:hAnsi="Open Sans" w:cs="Open Sans"/>
          <w:b/>
          <w:sz w:val="24"/>
          <w:szCs w:val="24"/>
        </w:rPr>
      </w:pPr>
      <w:r w:rsidRPr="002A63BA">
        <w:rPr>
          <w:rFonts w:ascii="Open Sans" w:hAnsi="Open Sans" w:cs="Open Sans"/>
          <w:b/>
          <w:sz w:val="24"/>
          <w:szCs w:val="24"/>
        </w:rPr>
        <w:lastRenderedPageBreak/>
        <w:t>THE EMERGING WORLD OF SMART CITIES: DEFINITIONS, RESEARCH INITIATIVES AND WORLDWIDE EXAMPLES</w:t>
      </w:r>
    </w:p>
    <w:p w14:paraId="0E45396A" w14:textId="0E1335A8" w:rsidR="000F6DCC" w:rsidRPr="002A63BA" w:rsidRDefault="00665BF3" w:rsidP="00FF3EE4">
      <w:pPr>
        <w:pStyle w:val="N1"/>
      </w:pPr>
      <w:r w:rsidRPr="002A63BA">
        <w:t>INTRODUCTION</w:t>
      </w:r>
    </w:p>
    <w:p w14:paraId="10B86104" w14:textId="3F6E3597" w:rsidR="00080FFE" w:rsidRPr="002A63BA" w:rsidRDefault="00AD6ED4" w:rsidP="00FF3EE4">
      <w:pPr>
        <w:spacing w:line="276" w:lineRule="auto"/>
        <w:rPr>
          <w:rFonts w:ascii="Open Sans" w:hAnsi="Open Sans" w:cs="Open Sans"/>
          <w:noProof/>
        </w:rPr>
      </w:pPr>
      <w:r w:rsidRPr="002A63BA">
        <w:rPr>
          <w:rFonts w:ascii="Open Sans" w:hAnsi="Open Sans" w:cs="Open Sans"/>
        </w:rPr>
        <w:t xml:space="preserve">This rapidly increasing urban population is bringing modern problems and affecting people’s life to a great extent. Fortunately, as the population grows and people migrate from rural to urban areas, technological advancement increases simultaneously and presents a potential way for facing with the issues. One of the potential </w:t>
      </w:r>
      <w:r w:rsidR="0020727B" w:rsidRPr="002A63BA">
        <w:rPr>
          <w:rFonts w:ascii="Open Sans" w:hAnsi="Open Sans" w:cs="Open Sans"/>
        </w:rPr>
        <w:t>solutions</w:t>
      </w:r>
      <w:r w:rsidRPr="002A63BA">
        <w:rPr>
          <w:rFonts w:ascii="Open Sans" w:hAnsi="Open Sans" w:cs="Open Sans"/>
        </w:rPr>
        <w:t xml:space="preserve"> is also smart city development. </w:t>
      </w:r>
      <w:r w:rsidRPr="002A63BA">
        <w:rPr>
          <w:rFonts w:ascii="Open Sans" w:hAnsi="Open Sans" w:cs="Open Sans"/>
          <w:noProof/>
        </w:rPr>
        <w:t xml:space="preserve">The way smart cities are managed is through digitalization since intelligent solutions are based on integrated sensor technology, connectivity, data analysis gathered from these conectivity, and independent value-added processes. A digital transformation and connectivity are an essential part of a smart city as seen from the successful examples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&lt;EndNote&gt;&lt;Cite&gt;&lt;Author&gt;Gassmann&lt;/Author&gt;&lt;Year&gt;2019&lt;/Year&gt;&lt;RecNum&gt;288&lt;/RecNum&gt;&lt;DisplayText&gt;(Gassmann, Böhm, &amp;amp; Palmié, 2019)&lt;/DisplayText&gt;&lt;record&gt;&lt;rec-number&gt;288&lt;/rec-number&gt;&lt;foreign-keys&gt;&lt;key app="EN" db-id="9xtppttv1tfpsqedswup2p2w5tvf59x5dt5d" timestamp="1653914504"&gt;288&lt;/key&gt;&lt;/foreign-keys&gt;&lt;ref-type name="Book"&gt;6&lt;/ref-type&gt;&lt;contributors&gt;&lt;authors&gt;&lt;author&gt;Gassmann, Oliver&lt;/author&gt;&lt;author&gt;Böhm, Jonas&lt;/author&gt;&lt;author&gt;Palmié, Maximilian&lt;/author&gt;&lt;/authors&gt;&lt;/contributors&gt;&lt;titles&gt;&lt;title&gt;Smart cities: Introducing digital innovation to cities&lt;/title&gt;&lt;/titles&gt;&lt;dates&gt;&lt;year&gt;2019&lt;/year&gt;&lt;/dates&gt;&lt;publisher&gt;Emerald Group Publishing&lt;/publisher&gt;&lt;isbn&gt;1787696138&lt;/isbn&gt;&lt;urls&gt;&lt;/urls&gt;&lt;/record&gt;&lt;/Cite&gt;&lt;/EndNote&gt;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(Gassmann, Böhm, &amp; Palmié, 2019)</w:t>
      </w:r>
      <w:r w:rsidR="00A3320D" w:rsidRPr="002A63BA">
        <w:rPr>
          <w:rFonts w:ascii="Open Sans" w:hAnsi="Open Sans" w:cs="Open Sans"/>
          <w:noProof/>
        </w:rPr>
        <w:fldChar w:fldCharType="end"/>
      </w:r>
      <w:r w:rsidRPr="002A63BA">
        <w:rPr>
          <w:rFonts w:ascii="Open Sans" w:hAnsi="Open Sans" w:cs="Open Sans"/>
          <w:noProof/>
        </w:rPr>
        <w:t>.</w:t>
      </w:r>
    </w:p>
    <w:p w14:paraId="0C6E9133" w14:textId="77777777" w:rsidR="00AD6ED4" w:rsidRPr="002A63BA" w:rsidRDefault="00AD6ED4" w:rsidP="00FF3EE4">
      <w:pPr>
        <w:spacing w:line="276" w:lineRule="auto"/>
        <w:rPr>
          <w:rFonts w:ascii="Open Sans" w:hAnsi="Open Sans" w:cs="Open Sans"/>
        </w:rPr>
      </w:pPr>
      <w:r w:rsidRPr="002A63BA">
        <w:rPr>
          <w:rFonts w:ascii="Open Sans" w:hAnsi="Open Sans" w:cs="Open Sans"/>
        </w:rPr>
        <w:t xml:space="preserve">There are different notions of smart cities such as, technological cities or digital cities and thus the primarily focus is on the technical side of development. However, there are also some downfalls of the technologically defined concept of a smart city. Incorporating and building technologies just for the reason of calling a city a smart, may cause overinvesting into technologies that do not improve citizens' life. Thus, the focus of smart cities should be also on a smart program or the ability to assist city planners and the municipal authorities, based on technology, to achieve higher efficiencies and performance on different frontiers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&lt;EndNote&gt;&lt;Cite&gt;&lt;Author&gt;Sharifi&lt;/Author&gt;&lt;Year&gt;2021&lt;/Year&gt;&lt;RecNum&gt;300&lt;/RecNum&gt;&lt;DisplayText&gt;(Sharifi, Allam, Feizizadeh, &amp;amp; Ghamari, 2021)&lt;/DisplayText&gt;&lt;record&gt;&lt;rec-number&gt;300&lt;/rec-number&gt;&lt;foreign-keys&gt;&lt;key app="EN" db-id="9xtppttv1tfpsqedswup2p2w5tvf59x5dt5d" timestamp="1653949258"&gt;300&lt;/key&gt;&lt;/foreign-keys&gt;&lt;ref-type name="Journal Article"&gt;17&lt;/ref-type&gt;&lt;contributors&gt;&lt;authors&gt;&lt;author&gt;Sharifi, Ayyoob&lt;/author&gt;&lt;author&gt;Allam, Zaheer&lt;/author&gt;&lt;author&gt;Feizizadeh, Bakhtiar&lt;/author&gt;&lt;author&gt;Ghamari, Hessam&lt;/author&gt;&lt;/authors&gt;&lt;/contributors&gt;&lt;titles&gt;&lt;title&gt;Three decades of research on smart cities: Mapping knowledge structure and trends&lt;/title&gt;&lt;secondary-title&gt;Sustainability&lt;/secondary-title&gt;&lt;/titles&gt;&lt;periodical&gt;&lt;full-title&gt;Sustainability&lt;/full-title&gt;&lt;/periodical&gt;&lt;pages&gt;7140&lt;/pages&gt;&lt;volume&gt;13&lt;/volume&gt;&lt;number&gt;13&lt;/number&gt;&lt;dates&gt;&lt;year&gt;2021&lt;/year&gt;&lt;/dates&gt;&lt;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(Sharifi, Allam, Feizizadeh, &amp; Ghamari, 2021)</w:t>
      </w:r>
      <w:r w:rsidR="00A3320D" w:rsidRPr="002A63BA">
        <w:rPr>
          <w:rFonts w:ascii="Open Sans" w:hAnsi="Open Sans" w:cs="Open Sans"/>
        </w:rPr>
        <w:fldChar w:fldCharType="end"/>
      </w:r>
      <w:r w:rsidRPr="002A63BA">
        <w:rPr>
          <w:rFonts w:ascii="Open Sans" w:hAnsi="Open Sans" w:cs="Open Sans"/>
        </w:rPr>
        <w:t>.</w:t>
      </w:r>
    </w:p>
    <w:p w14:paraId="08C51498" w14:textId="788DD6C3" w:rsidR="00080FFE" w:rsidRPr="002A63BA" w:rsidRDefault="00080FFE" w:rsidP="00FF3EE4">
      <w:pPr>
        <w:spacing w:line="276" w:lineRule="auto"/>
        <w:rPr>
          <w:rFonts w:ascii="Open Sans" w:hAnsi="Open Sans" w:cs="Open Sans"/>
          <w:lang w:val="en-US"/>
        </w:rPr>
      </w:pPr>
      <w:r w:rsidRPr="002A63BA">
        <w:rPr>
          <w:rFonts w:ascii="Open Sans" w:hAnsi="Open Sans" w:cs="Open Sans"/>
          <w:lang w:val="en-US"/>
        </w:rPr>
        <w:t>Transforming urban areas into successful, sustainable living settlements has been the goal of local authorities around the world for many years. Nowadays, there ar</w:t>
      </w:r>
      <w:r w:rsidR="00C400E4" w:rsidRPr="002A63BA">
        <w:rPr>
          <w:rFonts w:ascii="Open Sans" w:hAnsi="Open Sans" w:cs="Open Sans"/>
          <w:lang w:val="en-US"/>
        </w:rPr>
        <w:t>e a huge number of settlements or</w:t>
      </w:r>
      <w:r w:rsidRPr="002A63BA">
        <w:rPr>
          <w:rFonts w:ascii="Open Sans" w:hAnsi="Open Sans" w:cs="Open Sans"/>
          <w:lang w:val="en-US"/>
        </w:rPr>
        <w:t xml:space="preserve"> cities in the world that ha</w:t>
      </w:r>
      <w:r w:rsidR="00C400E4" w:rsidRPr="002A63BA">
        <w:rPr>
          <w:rFonts w:ascii="Open Sans" w:hAnsi="Open Sans" w:cs="Open Sans"/>
          <w:lang w:val="en-US"/>
        </w:rPr>
        <w:t>ve decided to become so-called smart cities</w:t>
      </w:r>
      <w:r w:rsidRPr="002A63BA">
        <w:rPr>
          <w:rFonts w:ascii="Open Sans" w:hAnsi="Open Sans" w:cs="Open Sans"/>
          <w:lang w:val="en-US"/>
        </w:rPr>
        <w:t xml:space="preserve"> in order to achieve this goal of sustainability. Under the Smart Cities Program, many government organizations are currently working to help transform</w:t>
      </w:r>
      <w:r w:rsidR="00C400E4" w:rsidRPr="002A63BA">
        <w:rPr>
          <w:rFonts w:ascii="Open Sans" w:hAnsi="Open Sans" w:cs="Open Sans"/>
          <w:lang w:val="en-US"/>
        </w:rPr>
        <w:t>ing</w:t>
      </w:r>
      <w:r w:rsidRPr="002A63BA">
        <w:rPr>
          <w:rFonts w:ascii="Open Sans" w:hAnsi="Open Sans" w:cs="Open Sans"/>
          <w:lang w:val="en-US"/>
        </w:rPr>
        <w:t xml:space="preserve"> cities, address</w:t>
      </w:r>
      <w:r w:rsidR="00C400E4" w:rsidRPr="002A63BA">
        <w:rPr>
          <w:rFonts w:ascii="Open Sans" w:hAnsi="Open Sans" w:cs="Open Sans"/>
          <w:lang w:val="en-US"/>
        </w:rPr>
        <w:t xml:space="preserve">ing well-being and sustainability, </w:t>
      </w:r>
      <w:r w:rsidRPr="002A63BA">
        <w:rPr>
          <w:rFonts w:ascii="Open Sans" w:hAnsi="Open Sans" w:cs="Open Sans"/>
          <w:lang w:val="en-US"/>
        </w:rPr>
        <w:t xml:space="preserve">especially through high-tech </w:t>
      </w:r>
      <w:r w:rsidRPr="002A63BA">
        <w:rPr>
          <w:rFonts w:ascii="Open Sans" w:hAnsi="Open Sans" w:cs="Open Sans"/>
          <w:lang w:val="en-US"/>
        </w:rPr>
        <w:lastRenderedPageBreak/>
        <w:t>solutions. Nevertheless, the notion of a smart city is ambiguous and the conceptual framework to help cities and their administrations understand the broader picture of this urban development paradigm is limited.</w:t>
      </w:r>
      <w:r w:rsidR="00C400E4" w:rsidRPr="002A63BA">
        <w:rPr>
          <w:rFonts w:ascii="Open Sans" w:hAnsi="Open Sans" w:cs="Open Sans"/>
          <w:lang w:val="en-US"/>
        </w:rPr>
        <w:t xml:space="preserve"> In this chapter, we are thus presenting different smart city definitions, research directions and relevant underlying trends.</w:t>
      </w:r>
    </w:p>
    <w:p w14:paraId="7474DE50" w14:textId="28503BE9" w:rsidR="0022084A" w:rsidRPr="002A63BA" w:rsidRDefault="00637E20" w:rsidP="00FF3EE4">
      <w:pPr>
        <w:spacing w:line="276" w:lineRule="auto"/>
        <w:rPr>
          <w:rFonts w:ascii="Open Sans" w:hAnsi="Open Sans" w:cs="Open Sans"/>
          <w:lang w:val="en-US"/>
        </w:rPr>
      </w:pPr>
      <w:r w:rsidRPr="002A63BA">
        <w:rPr>
          <w:rFonts w:ascii="Open Sans" w:hAnsi="Open Sans" w:cs="Open Sans"/>
          <w:lang w:val="en-US"/>
        </w:rPr>
        <w:t xml:space="preserve">The aim of this chapter is to </w:t>
      </w:r>
      <w:r w:rsidR="00A47023" w:rsidRPr="002A63BA">
        <w:rPr>
          <w:rFonts w:ascii="Open Sans" w:hAnsi="Open Sans" w:cs="Open Sans"/>
          <w:lang w:val="en-US"/>
        </w:rPr>
        <w:t xml:space="preserve">present the smart city </w:t>
      </w:r>
      <w:r w:rsidR="000B4D71" w:rsidRPr="002A63BA">
        <w:rPr>
          <w:rFonts w:ascii="Open Sans" w:hAnsi="Open Sans" w:cs="Open Sans"/>
          <w:lang w:val="en-US"/>
        </w:rPr>
        <w:t xml:space="preserve">trends in research and practice. </w:t>
      </w:r>
      <w:r w:rsidR="00FE45FA" w:rsidRPr="002A63BA">
        <w:rPr>
          <w:rFonts w:ascii="Open Sans" w:hAnsi="Open Sans" w:cs="Open Sans"/>
          <w:lang w:val="en-US"/>
        </w:rPr>
        <w:t>S</w:t>
      </w:r>
      <w:r w:rsidR="00AD621F" w:rsidRPr="002A63BA">
        <w:rPr>
          <w:rFonts w:ascii="Open Sans" w:hAnsi="Open Sans" w:cs="Open Sans"/>
          <w:lang w:val="en-US"/>
        </w:rPr>
        <w:t>mart city definitions are presented</w:t>
      </w:r>
      <w:r w:rsidR="00FE45FA" w:rsidRPr="002A63BA">
        <w:rPr>
          <w:rFonts w:ascii="Open Sans" w:hAnsi="Open Sans" w:cs="Open Sans"/>
          <w:lang w:val="en-US"/>
        </w:rPr>
        <w:t xml:space="preserve"> at the beginning</w:t>
      </w:r>
      <w:r w:rsidR="00AD621F" w:rsidRPr="002A63BA">
        <w:rPr>
          <w:rFonts w:ascii="Open Sans" w:hAnsi="Open Sans" w:cs="Open Sans"/>
          <w:lang w:val="en-US"/>
        </w:rPr>
        <w:t>, followed by</w:t>
      </w:r>
      <w:r w:rsidR="0059155B" w:rsidRPr="002A63BA">
        <w:rPr>
          <w:rFonts w:ascii="Open Sans" w:hAnsi="Open Sans" w:cs="Open Sans"/>
          <w:lang w:val="en-US"/>
        </w:rPr>
        <w:t xml:space="preserve"> </w:t>
      </w:r>
      <w:r w:rsidR="008F3808" w:rsidRPr="002A63BA">
        <w:rPr>
          <w:rFonts w:ascii="Open Sans" w:hAnsi="Open Sans" w:cs="Open Sans"/>
          <w:lang w:val="en-US"/>
        </w:rPr>
        <w:t>r</w:t>
      </w:r>
      <w:r w:rsidR="0059155B" w:rsidRPr="002A63BA">
        <w:rPr>
          <w:rFonts w:ascii="Open Sans" w:hAnsi="Open Sans" w:cs="Open Sans"/>
          <w:lang w:val="en-US"/>
        </w:rPr>
        <w:t>esearch trends on the topic across different research areas</w:t>
      </w:r>
      <w:r w:rsidR="00AD621F" w:rsidRPr="002A63BA">
        <w:rPr>
          <w:rFonts w:ascii="Open Sans" w:hAnsi="Open Sans" w:cs="Open Sans"/>
          <w:lang w:val="en-US"/>
        </w:rPr>
        <w:t xml:space="preserve">. Further on, </w:t>
      </w:r>
      <w:r w:rsidR="006E669E" w:rsidRPr="002A63BA">
        <w:rPr>
          <w:rFonts w:ascii="Open Sans" w:hAnsi="Open Sans" w:cs="Open Sans"/>
          <w:lang w:val="en-US"/>
        </w:rPr>
        <w:t xml:space="preserve">various examples of smart city solutions and </w:t>
      </w:r>
      <w:r w:rsidR="00EA3B9E" w:rsidRPr="002A63BA">
        <w:rPr>
          <w:rFonts w:ascii="Open Sans" w:hAnsi="Open Sans" w:cs="Open Sans"/>
          <w:lang w:val="en-US"/>
        </w:rPr>
        <w:t>case studies from cities around the world are described.</w:t>
      </w:r>
      <w:r w:rsidR="00AD621F" w:rsidRPr="002A63BA">
        <w:rPr>
          <w:rFonts w:ascii="Open Sans" w:hAnsi="Open Sans" w:cs="Open Sans"/>
          <w:lang w:val="en-US"/>
        </w:rPr>
        <w:t xml:space="preserve"> </w:t>
      </w:r>
    </w:p>
    <w:p w14:paraId="0BB3AE24" w14:textId="5A377EAD" w:rsidR="000F6DCC" w:rsidRPr="002A63BA" w:rsidRDefault="00113ADD" w:rsidP="00FF3EE4">
      <w:pPr>
        <w:pStyle w:val="N1"/>
      </w:pPr>
      <w:r w:rsidRPr="002A63BA">
        <w:t>DEFINING A SMART CITY</w:t>
      </w:r>
    </w:p>
    <w:p w14:paraId="072C40EC" w14:textId="77777777" w:rsidR="001134DF" w:rsidRPr="002A63BA" w:rsidRDefault="00581AF4" w:rsidP="00FF3EE4">
      <w:pPr>
        <w:spacing w:line="276" w:lineRule="auto"/>
        <w:rPr>
          <w:rFonts w:ascii="Open Sans" w:hAnsi="Open Sans" w:cs="Open Sans"/>
          <w:noProof/>
        </w:rPr>
      </w:pPr>
      <w:r w:rsidRPr="002A63BA">
        <w:rPr>
          <w:rFonts w:ascii="Open Sans" w:hAnsi="Open Sans" w:cs="Open Sans"/>
          <w:noProof/>
        </w:rPr>
        <w:t xml:space="preserve">The concept of smart cities </w:t>
      </w:r>
      <w:r w:rsidR="000F3A5A" w:rsidRPr="002A63BA">
        <w:rPr>
          <w:rFonts w:ascii="Open Sans" w:hAnsi="Open Sans" w:cs="Open Sans"/>
          <w:noProof/>
        </w:rPr>
        <w:t xml:space="preserve">started </w:t>
      </w:r>
      <w:r w:rsidRPr="002A63BA">
        <w:rPr>
          <w:rFonts w:ascii="Open Sans" w:hAnsi="Open Sans" w:cs="Open Sans"/>
          <w:noProof/>
        </w:rPr>
        <w:t>appear</w:t>
      </w:r>
      <w:r w:rsidR="000F3A5A" w:rsidRPr="002A63BA">
        <w:rPr>
          <w:rFonts w:ascii="Open Sans" w:hAnsi="Open Sans" w:cs="Open Sans"/>
          <w:noProof/>
        </w:rPr>
        <w:t>ing decades ago</w:t>
      </w:r>
      <w:r w:rsidRPr="002A63BA">
        <w:rPr>
          <w:rFonts w:ascii="Open Sans" w:hAnsi="Open Sans" w:cs="Open Sans"/>
          <w:noProof/>
        </w:rPr>
        <w:t xml:space="preserve">. Over the generations, the concept has been upgraded </w:t>
      </w:r>
      <w:r w:rsidR="000F3A5A" w:rsidRPr="002A63BA">
        <w:rPr>
          <w:rFonts w:ascii="Open Sans" w:hAnsi="Open Sans" w:cs="Open Sans"/>
          <w:noProof/>
        </w:rPr>
        <w:t>by introducing different</w:t>
      </w:r>
      <w:r w:rsidRPr="002A63BA">
        <w:rPr>
          <w:rFonts w:ascii="Open Sans" w:hAnsi="Open Sans" w:cs="Open Sans"/>
          <w:noProof/>
        </w:rPr>
        <w:t xml:space="preserve"> innovations, which are currently being developed within the thi</w:t>
      </w:r>
      <w:r w:rsidR="000F3A5A" w:rsidRPr="002A63BA">
        <w:rPr>
          <w:rFonts w:ascii="Open Sans" w:hAnsi="Open Sans" w:cs="Open Sans"/>
          <w:noProof/>
        </w:rPr>
        <w:t xml:space="preserve">rd generation. Emerging new or </w:t>
      </w:r>
      <w:r w:rsidRPr="002A63BA">
        <w:rPr>
          <w:rFonts w:ascii="Open Sans" w:hAnsi="Open Sans" w:cs="Open Sans"/>
          <w:noProof/>
        </w:rPr>
        <w:t>the fourth generation is working to make all elements of the city and its infrastructure (economy</w:t>
      </w:r>
      <w:r w:rsidR="000F3A5A" w:rsidRPr="002A63BA">
        <w:rPr>
          <w:rFonts w:ascii="Open Sans" w:hAnsi="Open Sans" w:cs="Open Sans"/>
          <w:noProof/>
        </w:rPr>
        <w:t xml:space="preserve">, transport, education, health, </w:t>
      </w:r>
      <w:r w:rsidRPr="002A63BA">
        <w:rPr>
          <w:rFonts w:ascii="Open Sans" w:hAnsi="Open Sans" w:cs="Open Sans"/>
          <w:noProof/>
        </w:rPr>
        <w:t>governance</w:t>
      </w:r>
      <w:r w:rsidR="000F3A5A" w:rsidRPr="002A63BA">
        <w:rPr>
          <w:rFonts w:ascii="Open Sans" w:hAnsi="Open Sans" w:cs="Open Sans"/>
          <w:noProof/>
        </w:rPr>
        <w:t xml:space="preserve"> and other</w:t>
      </w:r>
      <w:r w:rsidRPr="002A63BA">
        <w:rPr>
          <w:rFonts w:ascii="Open Sans" w:hAnsi="Open Sans" w:cs="Open Sans"/>
          <w:noProof/>
        </w:rPr>
        <w:t xml:space="preserve">) "smarter". The development of the Internet of Things, integrated systems and their global integration is creating new opportunities to build smart cities and move to </w:t>
      </w:r>
      <w:r w:rsidR="000F3A5A" w:rsidRPr="002A63BA">
        <w:rPr>
          <w:rFonts w:ascii="Open Sans" w:hAnsi="Open Sans" w:cs="Open Sans"/>
          <w:noProof/>
        </w:rPr>
        <w:t>a</w:t>
      </w:r>
      <w:r w:rsidRPr="002A63BA">
        <w:rPr>
          <w:rFonts w:ascii="Open Sans" w:hAnsi="Open Sans" w:cs="Open Sans"/>
          <w:noProof/>
        </w:rPr>
        <w:t xml:space="preserve"> “smart economy” base</w:t>
      </w:r>
      <w:r w:rsidR="000F3A5A" w:rsidRPr="002A63BA">
        <w:rPr>
          <w:rFonts w:ascii="Open Sans" w:hAnsi="Open Sans" w:cs="Open Sans"/>
          <w:noProof/>
        </w:rPr>
        <w:t xml:space="preserve">d on Industry 4.0 </w:t>
      </w:r>
      <w:r w:rsidR="001134DF" w:rsidRPr="002A63BA">
        <w:rPr>
          <w:rFonts w:ascii="Open Sans" w:hAnsi="Open Sans" w:cs="Open Sans"/>
          <w:noProof/>
        </w:rPr>
        <w:t>including</w:t>
      </w:r>
      <w:r w:rsidR="000F3A5A" w:rsidRPr="002A63BA">
        <w:rPr>
          <w:rFonts w:ascii="Open Sans" w:hAnsi="Open Sans" w:cs="Open Sans"/>
          <w:noProof/>
        </w:rPr>
        <w:t xml:space="preserve"> creating</w:t>
      </w:r>
      <w:r w:rsidRPr="002A63BA">
        <w:rPr>
          <w:rFonts w:ascii="Open Sans" w:hAnsi="Open Sans" w:cs="Open Sans"/>
          <w:noProof/>
        </w:rPr>
        <w:t xml:space="preserve"> production that is harmless to the urban environment. Digital technologies create the conditions for horizontal integration that goes beyond “smart factories” and promote automated value chains at local, regional, national and global levels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&lt;EndNote&gt;&lt;Cite&gt;&lt;Author&gt;Safiullin&lt;/Author&gt;&lt;Year&gt;2019&lt;/Year&gt;&lt;RecNum&gt;244&lt;/RecNum&gt;&lt;DisplayText&gt;(Safiullin, Krasnyuk, &amp;amp; Kapelyuk, 2019)&lt;/DisplayText&gt;&lt;record&gt;&lt;rec-number&gt;244&lt;/rec-number&gt;&lt;foreign-keys&gt;&lt;key app="EN" db-id="9xtppttv1tfpsqedswup2p2w5tvf59x5dt5d" timestamp="1653815956"&gt;244&lt;/key&gt;&lt;/foreign-keys&gt;&lt;ref-type name="Conference Proceedings"&gt;10&lt;/ref-type&gt;&lt;contributors&gt;&lt;authors&gt;&lt;author&gt;Safiullin, Anton&lt;/author&gt;&lt;author&gt;Krasnyuk, Lyudmila&lt;/author&gt;&lt;author&gt;Kapelyuk, Zoya&lt;/author&gt;&lt;/authors&gt;&lt;/contributors&gt;&lt;titles&gt;&lt;title&gt;Integration of Industry 4.0 technologies for “smart cities” development&lt;/title&gt;&lt;secondary-title&gt;IOP conference series: materials science and engineering&lt;/secondary-title&gt;&lt;/titles&gt;&lt;pages&gt;012089&lt;/pages&gt;&lt;volume&gt;497&lt;/volume&gt;&lt;number&gt;1&lt;/number&gt;&lt;dates&gt;&lt;year&gt;2019&lt;/year&gt;&lt;/dates&gt;&lt;publisher&gt;IOP Publishing&lt;/publisher&gt;&lt;isbn&gt;1757-899X&lt;/isbn&gt;&lt;urls&gt;&lt;/urls&gt;&lt;/record&gt;&lt;/Cite&gt;&lt;/EndNote&gt;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(Safiullin, Krasnyuk, &amp; Kapelyuk, 2019)</w:t>
      </w:r>
      <w:r w:rsidR="00A3320D" w:rsidRPr="002A63BA">
        <w:rPr>
          <w:rFonts w:ascii="Open Sans" w:hAnsi="Open Sans" w:cs="Open Sans"/>
          <w:noProof/>
        </w:rPr>
        <w:fldChar w:fldCharType="end"/>
      </w:r>
      <w:r w:rsidRPr="002A63BA">
        <w:rPr>
          <w:rFonts w:ascii="Open Sans" w:hAnsi="Open Sans" w:cs="Open Sans"/>
          <w:noProof/>
        </w:rPr>
        <w:t>.</w:t>
      </w:r>
    </w:p>
    <w:p w14:paraId="47C346CC" w14:textId="6ED863F7" w:rsidR="001C3798" w:rsidRPr="002A63BA" w:rsidRDefault="001C3798" w:rsidP="00FF3EE4">
      <w:pPr>
        <w:spacing w:line="276" w:lineRule="auto"/>
        <w:rPr>
          <w:rFonts w:ascii="Open Sans" w:hAnsi="Open Sans" w:cs="Open Sans"/>
          <w:noProof/>
        </w:rPr>
      </w:pPr>
      <w:r w:rsidRPr="002A63BA">
        <w:rPr>
          <w:rFonts w:ascii="Open Sans" w:hAnsi="Open Sans" w:cs="Open Sans"/>
          <w:noProof/>
        </w:rPr>
        <w:t xml:space="preserve">Although the well-established definition of a smart city does not exist, experts do agree that it is a solution to many problems that occurred due to urbanization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&lt;EndNote&gt;&lt;Cite&gt;&lt;Author&gt;Silva&lt;/Author&gt;&lt;Year&gt;2018&lt;/Year&gt;&lt;RecNum&gt;275&lt;/RecNum&gt;&lt;DisplayText&gt;(Silva, Khan, &amp;amp; Han, 2018)&lt;/DisplayText&gt;&lt;record&gt;&lt;rec-number&gt;275&lt;/rec-number&gt;&lt;foreign-keys&gt;&lt;key app="EN" db-id="9xtppttv1tfpsqedswup2p2w5tvf59x5dt5d" timestamp="1653899962"&gt;275&lt;/key&gt;&lt;/foreign-keys&gt;&lt;ref-type name="Journal Article"&gt;17&lt;/ref-type&gt;&lt;contributors&gt;&lt;authors&gt;&lt;author&gt;Silva, Bhagya Nathali&lt;/author&gt;&lt;author&gt;Khan, Murad&lt;/author&gt;&lt;author&gt;Han, Kijun&lt;/author&gt;&lt;/authors&gt;&lt;/contributors&gt;&lt;titles&gt;&lt;title&gt;Towards sustainable smart cities: A review of trends, architectures, components, and open challenges in smart cities&lt;/title&gt;&lt;secondary-title&gt;Sustainable Cities and Society&lt;/secondary-title&gt;&lt;/titles&gt;&lt;periodical&gt;&lt;full-title&gt;Sustainable Cities and Society&lt;/full-title&gt;&lt;/periodical&gt;&lt;pages&gt;697-713&lt;/pages&gt;&lt;volume&gt;38&lt;/volume&gt;&lt;dates&gt;&lt;year&gt;2018&lt;/year&gt;&lt;/dates&gt;&lt;isbn&gt;2210-6707&lt;/isbn&gt;&lt;urls&gt;&lt;/urls&gt;&lt;/record&gt;&lt;/Cite&gt;&lt;/EndNote&gt;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(Silva, Khan, &amp; Han, 2018)</w:t>
      </w:r>
      <w:r w:rsidR="00A3320D" w:rsidRPr="002A63BA">
        <w:rPr>
          <w:rFonts w:ascii="Open Sans" w:hAnsi="Open Sans" w:cs="Open Sans"/>
          <w:noProof/>
        </w:rPr>
        <w:fldChar w:fldCharType="end"/>
      </w:r>
      <w:r w:rsidRPr="002A63BA">
        <w:rPr>
          <w:rFonts w:ascii="Open Sans" w:hAnsi="Open Sans" w:cs="Open Sans"/>
          <w:noProof/>
        </w:rPr>
        <w:t xml:space="preserve">. Changes in the environment and the society force cities to rethink their infrastructure and governance. These changes arise mostly from the fact that people seem to move from smaller villages to greater cities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&lt;EndNote&gt;&lt;Cite&gt;&lt;Author&gt;Dameri&lt;/Author&gt;&lt;Year&gt;2014&lt;/Year&gt;&lt;RecNum&gt;266&lt;/RecNum&gt;&lt;DisplayText&gt;(Dameri &amp;amp; Rosenthal-Sabroux, 2014)&lt;/DisplayText&gt;&lt;record&gt;&lt;rec-number&gt;266&lt;/rec-number&gt;&lt;foreign-keys&gt;&lt;key app="EN" db-id="9xtppttv1tfpsqedswup2p2w5tvf59x5dt5d" timestamp="1653854484"&gt;266&lt;/key&gt;&lt;/foreign-keys&gt;&lt;ref-type name="Book Section"&gt;5&lt;/ref-type&gt;&lt;contributors&gt;&lt;authors&gt;&lt;author&gt;Dameri, Renata Paola&lt;/author&gt;&lt;author&gt;Rosenthal-Sabroux, Camille&lt;/author&gt;&lt;/authors&gt;&lt;/contributors&gt;&lt;titles&gt;&lt;title&gt;Smart city and value creation&lt;/title&gt;&lt;secondary-title&gt;Smart city&lt;/secondary-title&gt;&lt;/titles&gt;&lt;pages&gt;1-12&lt;/pages&gt;&lt;dates&gt;&lt;year&gt;2014&lt;/year&gt;&lt;/dates&gt;&lt;publisher&gt;Springer&lt;/publisher&gt;&lt;urls&gt;&lt;/urls&gt;&lt;/record&gt;&lt;/Cite&gt;&lt;/EndNote&gt;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(Dameri &amp; Rosenthal-Sabroux, 2014)</w:t>
      </w:r>
      <w:r w:rsidR="00A3320D" w:rsidRPr="002A63BA">
        <w:rPr>
          <w:rFonts w:ascii="Open Sans" w:hAnsi="Open Sans" w:cs="Open Sans"/>
          <w:noProof/>
        </w:rPr>
        <w:fldChar w:fldCharType="end"/>
      </w:r>
      <w:r w:rsidRPr="002A63BA">
        <w:rPr>
          <w:rFonts w:ascii="Open Sans" w:hAnsi="Open Sans" w:cs="Open Sans"/>
          <w:noProof/>
        </w:rPr>
        <w:t xml:space="preserve">. This urbanization trend can be seen all over the world, and it is expected to </w:t>
      </w:r>
      <w:r w:rsidRPr="002A63BA">
        <w:rPr>
          <w:rFonts w:ascii="Open Sans" w:hAnsi="Open Sans" w:cs="Open Sans"/>
          <w:noProof/>
        </w:rPr>
        <w:lastRenderedPageBreak/>
        <w:t xml:space="preserve">increase even further in the future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&lt;EndNote&gt;&lt;Cite&gt;&lt;Author&gt;Laufs&lt;/Author&gt;&lt;Year&gt;2020&lt;/Year&gt;&lt;RecNum&gt;267&lt;/RecNum&gt;&lt;DisplayText&gt;(Laufs, Borrion, &amp;amp; Bradford, 2020)&lt;/DisplayText&gt;&lt;record&gt;&lt;rec-number&gt;267&lt;/rec-number&gt;&lt;foreign-keys&gt;&lt;key app="EN" db-id="9xtppttv1tfpsqedswup2p2w5tvf59x5dt5d" timestamp="1653854635"&gt;267&lt;/key&gt;&lt;/foreign-keys&gt;&lt;ref-type name="Journal Article"&gt;17&lt;/ref-type&gt;&lt;contributors&gt;&lt;authors&gt;&lt;author&gt;Laufs, Julian&lt;/author&gt;&lt;author&gt;Borrion, Hervé&lt;/author&gt;&lt;author&gt;Bradford, Ben&lt;/author&gt;&lt;/authors&gt;&lt;/contributors&gt;&lt;titles&gt;&lt;title&gt;Security and the smart city: A systematic review&lt;/title&gt;&lt;secondary-title&gt;Sustainable cities and society&lt;/secondary-title&gt;&lt;/titles&gt;&lt;periodical&gt;&lt;full-title&gt;Sustainable Cities and Society&lt;/full-title&gt;&lt;/periodical&gt;&lt;pages&gt;102023&lt;/pages&gt;&lt;volume&gt;55&lt;/volume&gt;&lt;dates&gt;&lt;year&gt;2020&lt;/year&gt;&lt;/dates&gt;&lt;isbn&gt;2210-6707&lt;/isbn&gt;&lt;urls&gt;&lt;/urls&gt;&lt;/record&gt;&lt;/Cite&gt;&lt;/EndNote&gt;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(Laufs, Borrion, &amp; Bradford, 2020)</w:t>
      </w:r>
      <w:r w:rsidR="00A3320D" w:rsidRPr="002A63BA">
        <w:rPr>
          <w:rFonts w:ascii="Open Sans" w:hAnsi="Open Sans" w:cs="Open Sans"/>
          <w:noProof/>
        </w:rPr>
        <w:fldChar w:fldCharType="end"/>
      </w:r>
      <w:r w:rsidRPr="002A63BA">
        <w:rPr>
          <w:rFonts w:ascii="Open Sans" w:hAnsi="Open Sans" w:cs="Open Sans"/>
          <w:noProof/>
        </w:rPr>
        <w:t xml:space="preserve">. An increasing population within cities leads to a variety of problems. Examples are traffic, an increased pollution of the environment, higher energy consumption or how to deal with the increase in waste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&lt;EndNote&gt;&lt;Cite&gt;&lt;Author&gt;Dameri&lt;/Author&gt;&lt;Year&gt;2014&lt;/Year&gt;&lt;RecNum&gt;266&lt;/RecNum&gt;&lt;DisplayText&gt;(Dameri &amp;amp; Rosenthal-Sabroux, 2014; Laufs, et al., 2020)&lt;/DisplayText&gt;&lt;record&gt;&lt;rec-number&gt;266&lt;/rec-number&gt;&lt;foreign-keys&gt;&lt;key app="EN" db-id="9xtppttv1tfpsqedswup2p2w5tvf59x5dt5d" timestamp="1653854484"&gt;266&lt;/key&gt;&lt;/foreign-keys&gt;&lt;ref-type name="Book Section"&gt;5&lt;/ref-type&gt;&lt;contributors&gt;&lt;authors&gt;&lt;author&gt;Dameri, Renata Paola&lt;/author&gt;&lt;author&gt;Rosenthal-Sabroux, Camille&lt;/author&gt;&lt;/authors&gt;&lt;/contributors&gt;&lt;titles&gt;&lt;title&gt;Smart city and value creation&lt;/title&gt;&lt;secondary-title&gt;Smart city&lt;/secondary-title&gt;&lt;/titles&gt;&lt;pages&gt;1-12&lt;/pages&gt;&lt;dates&gt;&lt;year&gt;2014&lt;/year&gt;&lt;/dates&gt;&lt;publisher&gt;Springer&lt;/publisher&gt;&lt;urls&gt;&lt;/urls&gt;&lt;/record&gt;&lt;/Cite&gt;&lt;Cite&gt;&lt;Author&gt;Laufs&lt;/Author&gt;&lt;Year&gt;2020&lt;/Year&gt;&lt;RecNum&gt;267&lt;/RecNum&gt;&lt;record&gt;&lt;rec-number&gt;267&lt;/rec-number&gt;&lt;foreign-keys&gt;&lt;key app="EN" db-id="9xtppttv1tfpsqedswup2p2w5tvf59x5dt5d" timestamp="1653854635"&gt;267&lt;/key&gt;&lt;/foreign-keys&gt;&lt;ref-type name="Journal Article"&gt;17&lt;/ref-type&gt;&lt;contributors&gt;&lt;authors&gt;&lt;author&gt;Laufs, Julian&lt;/author&gt;&lt;author&gt;Borrion, Hervé&lt;/author&gt;&lt;author&gt;Bradford, Ben&lt;/author&gt;&lt;/authors&gt;&lt;/contributors&gt;&lt;titles&gt;&lt;title&gt;Security and the smart city: A systematic review&lt;/title&gt;&lt;secondary-title&gt;Sustainable cities and society&lt;/secondary-title&gt;&lt;/titles&gt;&lt;periodical&gt;&lt;full-title&gt;Sustainable Cities and Society&lt;/full-title&gt;&lt;/periodical&gt;&lt;pages&gt;102023&lt;/pages&gt;&lt;volume&gt;55&lt;/volume&gt;&lt;dates&gt;&lt;year&gt;2020&lt;/year&gt;&lt;/dates&gt;&lt;isbn&gt;2210-6707&lt;/isbn&gt;&lt;urls&gt;&lt;/urls&gt;&lt;/record&gt;&lt;/Cite&gt;&lt;/EndNote&gt;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(Dameri &amp; Rosenthal-Sabroux, 2014; Laufs, et al., 2020)</w:t>
      </w:r>
      <w:r w:rsidR="00A3320D" w:rsidRPr="002A63BA">
        <w:rPr>
          <w:rFonts w:ascii="Open Sans" w:hAnsi="Open Sans" w:cs="Open Sans"/>
          <w:noProof/>
        </w:rPr>
        <w:fldChar w:fldCharType="end"/>
      </w:r>
      <w:r w:rsidRPr="002A63BA">
        <w:rPr>
          <w:rFonts w:ascii="Open Sans" w:hAnsi="Open Sans" w:cs="Open Sans"/>
          <w:noProof/>
        </w:rPr>
        <w:t xml:space="preserve">. The technological development in recent years allows for city governments to tackle these problems by using ICT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&lt;EndNote&gt;&lt;Cite&gt;&lt;Author&gt;Laufs&lt;/Author&gt;&lt;Year&gt;2020&lt;/Year&gt;&lt;RecNum&gt;267&lt;/RecNum&gt;&lt;DisplayText&gt;(Laufs, et al., 2020)&lt;/DisplayText&gt;&lt;record&gt;&lt;rec-number&gt;267&lt;/rec-number&gt;&lt;foreign-keys&gt;&lt;key app="EN" db-id="9xtppttv1tfpsqedswup2p2w5tvf59x5dt5d" timestamp="1653854635"&gt;267&lt;/key&gt;&lt;/foreign-keys&gt;&lt;ref-type name="Journal Article"&gt;17&lt;/ref-type&gt;&lt;contributors&gt;&lt;authors&gt;&lt;author&gt;Laufs, Julian&lt;/author&gt;&lt;author&gt;Borrion, Hervé&lt;/author&gt;&lt;author&gt;Bradford, Ben&lt;/author&gt;&lt;/authors&gt;&lt;/contributors&gt;&lt;titles&gt;&lt;title&gt;Security and the smart city: A systematic review&lt;/title&gt;&lt;secondary-title&gt;Sustainable cities and society&lt;/secondary-title&gt;&lt;/titles&gt;&lt;periodical&gt;&lt;full-title&gt;Sustainable Cities and Society&lt;/full-title&gt;&lt;/periodical&gt;&lt;pages&gt;102023&lt;/pages&gt;&lt;volume&gt;55&lt;/volume&gt;&lt;dates&gt;&lt;year&gt;2020&lt;/year&gt;&lt;/dates&gt;&lt;isbn&gt;2210-6707&lt;/isbn&gt;&lt;urls&gt;&lt;/urls&gt;&lt;/record&gt;&lt;/Cite&gt;&lt;/EndNote&gt;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(Laufs</w:t>
      </w:r>
      <w:r w:rsidR="0020727B" w:rsidRPr="002A63BA">
        <w:rPr>
          <w:rFonts w:ascii="Open Sans" w:hAnsi="Open Sans" w:cs="Open Sans"/>
          <w:noProof/>
        </w:rPr>
        <w:t>,</w:t>
      </w:r>
      <w:r w:rsidR="00A3320D" w:rsidRPr="002A63BA">
        <w:rPr>
          <w:rFonts w:ascii="Open Sans" w:hAnsi="Open Sans" w:cs="Open Sans"/>
          <w:noProof/>
        </w:rPr>
        <w:t xml:space="preserve"> et al., 2020)</w:t>
      </w:r>
      <w:r w:rsidR="00A3320D" w:rsidRPr="002A63BA">
        <w:rPr>
          <w:rFonts w:ascii="Open Sans" w:hAnsi="Open Sans" w:cs="Open Sans"/>
          <w:noProof/>
        </w:rPr>
        <w:fldChar w:fldCharType="end"/>
      </w:r>
      <w:r w:rsidRPr="002A63BA">
        <w:rPr>
          <w:rFonts w:ascii="Open Sans" w:hAnsi="Open Sans" w:cs="Open Sans"/>
          <w:noProof/>
        </w:rPr>
        <w:t xml:space="preserve">. Naturally, as ICT enables the development of smart cities, most of the initial definitions of smart cities revolved around the usage of ICTs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&lt;EndNote&gt;&lt;Cite&gt;&lt;Author&gt;Capdevila&lt;/Author&gt;&lt;Year&gt;2015&lt;/Year&gt;&lt;RecNum&gt;268&lt;/RecNum&gt;&lt;DisplayText&gt;(Capdevila &amp;amp; Zarlenga, 2015; Laufs, et al., 2020)&lt;/DisplayText&gt;&lt;record&gt;&lt;rec-number&gt;268&lt;/rec-number&gt;&lt;foreign-keys&gt;&lt;key app="EN" db-id="9xtppttv1tfpsqedswup2p2w5tvf59x5dt5d" timestamp="1653854791"&gt;268&lt;/key&gt;&lt;/foreign-keys&gt;&lt;ref-type name="Journal Article"&gt;17&lt;/ref-type&gt;&lt;contributors&gt;&lt;authors&gt;&lt;author&gt;Capdevila, Ignasi&lt;/author&gt;&lt;author&gt;Zarlenga, Matías I&lt;/author&gt;&lt;/authors&gt;&lt;/contributors&gt;&lt;titles&gt;&lt;title&gt;Smart city or smart citizens? The Barcelona case&lt;/title&gt;&lt;secondary-title&gt;Journal of Strategy and Management&lt;/secondary-title&gt;&lt;/titles&gt;&lt;periodical&gt;&lt;full-title&gt;Journal of Strategy and Management&lt;/full-title&gt;&lt;/periodical&gt;&lt;dates&gt;&lt;year&gt;2015&lt;/year&gt;&lt;/dates&gt;&lt;isbn&gt;1755-425X&lt;/isbn&gt;&lt;urls&gt;&lt;/urls&gt;&lt;/record&gt;&lt;/Cite&gt;&lt;Cite&gt;&lt;Author&gt;Laufs&lt;/Author&gt;&lt;Year&gt;2020&lt;/Year&gt;&lt;RecNum&gt;267&lt;/RecNum&gt;&lt;record&gt;&lt;rec-number&gt;267&lt;/rec-number&gt;&lt;foreign-keys&gt;&lt;key app="EN" db-id="9xtppttv1tfpsqedswup2p2w5tvf59x5dt5d" timestamp="1653854635"&gt;267&lt;/key&gt;&lt;/foreign-keys&gt;&lt;ref-type name="Journal Article"&gt;17&lt;/ref-type&gt;&lt;contributors&gt;&lt;authors&gt;&lt;author&gt;Laufs, Julian&lt;/author&gt;&lt;author&gt;Borrion, Hervé&lt;/author&gt;&lt;author&gt;Bradford, Ben&lt;/author&gt;&lt;/authors&gt;&lt;/contributors&gt;&lt;titles&gt;&lt;title&gt;Security and the smart city: A systematic review&lt;/title&gt;&lt;secondary-title&gt;Sustainable cities and society&lt;/secondary-title&gt;&lt;/titles&gt;&lt;periodical&gt;&lt;full-title&gt;Sustainable Cities and Society&lt;/full-title&gt;&lt;/periodical&gt;&lt;pages&gt;102023&lt;/pages&gt;&lt;volume&gt;55&lt;/volume&gt;&lt;dates&gt;&lt;year&gt;2020&lt;/year&gt;&lt;/dates&gt;&lt;isbn&gt;2210-6707&lt;/isbn&gt;&lt;urls&gt;&lt;/urls&gt;&lt;/record&gt;&lt;/Cite&gt;&lt;/EndNote&gt;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(Capdevila &amp; Zarlenga, 2015; Laufs, et al., 2020)</w:t>
      </w:r>
      <w:r w:rsidR="00A3320D" w:rsidRPr="002A63BA">
        <w:rPr>
          <w:rFonts w:ascii="Open Sans" w:hAnsi="Open Sans" w:cs="Open Sans"/>
          <w:noProof/>
        </w:rPr>
        <w:fldChar w:fldCharType="end"/>
      </w:r>
      <w:r w:rsidRPr="002A63BA">
        <w:rPr>
          <w:rFonts w:ascii="Open Sans" w:hAnsi="Open Sans" w:cs="Open Sans"/>
          <w:noProof/>
        </w:rPr>
        <w:t>. Over time, these initial definitions broadened towards a more holistic view, focusing on different aspects of a smart city. Besides the technological focus on ICT, smart cities were also based on the capabilities of the citizens (human resource focus), or the cities’ institutions’ governance and policy.</w:t>
      </w:r>
    </w:p>
    <w:p w14:paraId="297FC844" w14:textId="77777777" w:rsidR="008D015D" w:rsidRPr="002A63BA" w:rsidRDefault="008D015D" w:rsidP="00FF3EE4">
      <w:pPr>
        <w:spacing w:line="276" w:lineRule="auto"/>
        <w:rPr>
          <w:rFonts w:ascii="Open Sans" w:hAnsi="Open Sans" w:cs="Open Sans"/>
          <w:noProof/>
        </w:rPr>
      </w:pPr>
      <w:r w:rsidRPr="002A63BA">
        <w:rPr>
          <w:rFonts w:ascii="Open Sans" w:hAnsi="Open Sans" w:cs="Open Sans"/>
          <w:noProof/>
        </w:rPr>
        <w:t xml:space="preserve">A smart city is one that puts people at the heart of development, incorporates information and communication technologies into urban governance, and uses these elements as tools to promote effective government formation that includes participatory planning and citizen participation. By promoting integrated and sustainable development, smart cities are becoming more innovative, competitive, attractive and resilient, thus improving lives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&lt;EndNote&gt;&lt;Cite&gt;&lt;Author&gt;Bouskela&lt;/Author&gt;&lt;Year&gt;2016&lt;/Year&gt;&lt;RecNum&gt;291&lt;/RecNum&gt;&lt;DisplayText&gt;(Bouskela, 2016)&lt;/DisplayText&gt;&lt;record&gt;&lt;rec-number&gt;291&lt;/rec-number&gt;&lt;foreign-keys&gt;&lt;key app="EN" db-id="9xtppttv1tfpsqedswup2p2w5tvf59x5dt5d" timestamp="1653916383"&gt;291&lt;/key&gt;&lt;/foreign-keys&gt;&lt;ref-type name="Generic"&gt;13&lt;/ref-type&gt;&lt;contributors&gt;&lt;authors&gt;&lt;author&gt;Bouskela, M&lt;/author&gt;&lt;/authors&gt;&lt;/contributors&gt;&lt;titles&gt;&lt;title&gt;The Road toward Smart Cities, Migrating from Traditional City Management to the Smart City, Inter-American Development Bank (IDB)&lt;/title&gt;&lt;/titles&gt;&lt;dates&gt;&lt;year&gt;2016&lt;/year&gt;&lt;/dates&gt;&lt;urls&gt;&lt;/urls&gt;&lt;/record&gt;&lt;/Cite&gt;&lt;/EndNote&gt;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(Bouskela, 2016)</w:t>
      </w:r>
      <w:r w:rsidR="00A3320D" w:rsidRPr="002A63BA">
        <w:rPr>
          <w:rFonts w:ascii="Open Sans" w:hAnsi="Open Sans" w:cs="Open Sans"/>
          <w:noProof/>
        </w:rPr>
        <w:fldChar w:fldCharType="end"/>
      </w:r>
      <w:r w:rsidRPr="002A63BA">
        <w:rPr>
          <w:rFonts w:ascii="Open Sans" w:hAnsi="Open Sans" w:cs="Open Sans"/>
          <w:noProof/>
        </w:rPr>
        <w:t>.</w:t>
      </w:r>
    </w:p>
    <w:p w14:paraId="2632AF79" w14:textId="77777777" w:rsidR="001134DF" w:rsidRPr="002A63BA" w:rsidRDefault="001134DF" w:rsidP="00FF3EE4">
      <w:pPr>
        <w:spacing w:line="276" w:lineRule="auto"/>
        <w:rPr>
          <w:rFonts w:ascii="Open Sans" w:hAnsi="Open Sans" w:cs="Open Sans"/>
          <w:noProof/>
        </w:rPr>
      </w:pPr>
      <w:r w:rsidRPr="002A63BA">
        <w:rPr>
          <w:rFonts w:ascii="Open Sans" w:hAnsi="Open Sans" w:cs="Open Sans"/>
          <w:noProof/>
        </w:rPr>
        <w:t xml:space="preserve">Smart city developments have proved to be a favourite when looking for modern solutions to challenges we face with urbanisation. Because of the challenges posed by urbanisation, the need for smart city initiatives is rising. It is projected that by 2050 more than 66 per cent of the world population will be living in urban areas. As the migration to cities increases, the stress on the already existing infrastructure will increase. This stress in the long term might affect future sustainable development initiatives thus causing long term social issues, waste management issues and energy consumption issues. Cities which only take around 3 per cent of the entire landmass are using more than 75 per cent of global resources and supplies and account for more than 80 per cent of greenhouse emissions. Therefore, cities play a major role in social, </w:t>
      </w:r>
      <w:r w:rsidRPr="002A63BA">
        <w:rPr>
          <w:rFonts w:ascii="Open Sans" w:hAnsi="Open Sans" w:cs="Open Sans"/>
          <w:noProof/>
        </w:rPr>
        <w:lastRenderedPageBreak/>
        <w:t xml:space="preserve">economic and environmental issues so it is essential to collectively establish solutions to modernize cities leading them into a new era of sustainability and social development. Smart Cities have emerged to be a modern solution to old problems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w:t>
      </w:r>
    </w:p>
    <w:p w14:paraId="01827579" w14:textId="77777777" w:rsidR="001134DF" w:rsidRPr="002A63BA" w:rsidRDefault="001134DF" w:rsidP="00FF3EE4">
      <w:pPr>
        <w:spacing w:line="276" w:lineRule="auto"/>
        <w:rPr>
          <w:rFonts w:ascii="Open Sans" w:hAnsi="Open Sans" w:cs="Open Sans"/>
          <w:noProof/>
        </w:rPr>
      </w:pPr>
      <w:r w:rsidRPr="002A63BA">
        <w:rPr>
          <w:rFonts w:ascii="Open Sans" w:hAnsi="Open Sans" w:cs="Open Sans"/>
          <w:noProof/>
        </w:rPr>
        <w:t xml:space="preserve">In recent years research into Smart Cities has increased and the discussion on what constitutes a Smart City has </w:t>
      </w:r>
      <w:r w:rsidR="00FA7CC1" w:rsidRPr="002A63BA">
        <w:rPr>
          <w:rFonts w:ascii="Open Sans" w:hAnsi="Open Sans" w:cs="Open Sans"/>
          <w:noProof/>
        </w:rPr>
        <w:t>attended the attention</w:t>
      </w:r>
      <w:r w:rsidRPr="002A63BA">
        <w:rPr>
          <w:rFonts w:ascii="Open Sans" w:hAnsi="Open Sans" w:cs="Open Sans"/>
          <w:noProof/>
        </w:rPr>
        <w:t xml:space="preserve"> in the academic circles. Due to a vague definition of what a Smart city constitutes and how it should be implemented in our society</w:t>
      </w:r>
      <w:r w:rsidR="00FA7CC1" w:rsidRPr="002A63BA">
        <w:rPr>
          <w:rFonts w:ascii="Open Sans" w:hAnsi="Open Sans" w:cs="Open Sans"/>
          <w:noProof/>
        </w:rPr>
        <w:t>,</w:t>
      </w:r>
      <w:r w:rsidRPr="002A63BA">
        <w:rPr>
          <w:rFonts w:ascii="Open Sans" w:hAnsi="Open Sans" w:cs="Open Sans"/>
          <w:noProof/>
        </w:rPr>
        <w:t xml:space="preserve"> different terms are sometimes being used interchangeably. Terms such as digital city, smart community, sustainable city, intelligent city, information city, knowledge city, and tech city were all used in various applications to describe developments which could also be characterized by the term Smart Cities. These different definition aspects assert the notion that the term Smart City is a term which describes a broad array of different definitions and is somewhat of contemporary use of language describing urban development management. The term itself originates from the 1990s but has become popularized and recognized due to its usage by several companies, mostly originating from the technology sphere, such as Cisco, IBM and Siemens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 xml:space="preserve">. </w:t>
      </w:r>
    </w:p>
    <w:p w14:paraId="55FF7800" w14:textId="5B015470" w:rsidR="00D95614" w:rsidRPr="002A63BA" w:rsidRDefault="00FA7CC1" w:rsidP="00FF3EE4">
      <w:pPr>
        <w:spacing w:line="276" w:lineRule="auto"/>
        <w:rPr>
          <w:rFonts w:ascii="Open Sans" w:hAnsi="Open Sans" w:cs="Open Sans"/>
          <w:noProof/>
        </w:rPr>
      </w:pPr>
      <w:r w:rsidRPr="002A63BA">
        <w:rPr>
          <w:rFonts w:ascii="Open Sans" w:hAnsi="Open Sans" w:cs="Open Sans"/>
          <w:noProof/>
        </w:rPr>
        <w:t>Despite several different definitions there are commonalities which constitute a Smart City. Important characteristics a city must strive to become a Smart City a</w:t>
      </w:r>
      <w:r w:rsidR="00C6141A" w:rsidRPr="002A63BA">
        <w:rPr>
          <w:rFonts w:ascii="Open Sans" w:hAnsi="Open Sans" w:cs="Open Sans"/>
          <w:noProof/>
        </w:rPr>
        <w:t>re referring to (1) Information and communication technology or ICT; (2) Urban development led by businesses and entrepreneurs; (3) Community development and social capital; (4) Learning and knowledgebase development; and (5) Sustainability.</w:t>
      </w:r>
    </w:p>
    <w:p w14:paraId="44AB8C8C" w14:textId="77777777" w:rsidR="00D95614" w:rsidRPr="002A63BA" w:rsidRDefault="00C6141A" w:rsidP="00FF3EE4">
      <w:pPr>
        <w:pStyle w:val="Naslov3"/>
        <w:spacing w:line="276" w:lineRule="auto"/>
        <w:rPr>
          <w:rFonts w:ascii="Open Sans" w:hAnsi="Open Sans" w:cs="Open Sans"/>
          <w:noProof/>
        </w:rPr>
      </w:pPr>
      <w:r w:rsidRPr="002A63BA">
        <w:rPr>
          <w:rFonts w:ascii="Open Sans" w:hAnsi="Open Sans" w:cs="Open Sans"/>
          <w:noProof/>
        </w:rPr>
        <w:t>Informati</w:t>
      </w:r>
      <w:r w:rsidR="00D95614" w:rsidRPr="002A63BA">
        <w:rPr>
          <w:rFonts w:ascii="Open Sans" w:hAnsi="Open Sans" w:cs="Open Sans"/>
          <w:noProof/>
        </w:rPr>
        <w:t>on and communication technology</w:t>
      </w:r>
    </w:p>
    <w:p w14:paraId="043BAAB5" w14:textId="77777777" w:rsidR="00D95614"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In order to enable participation from stakeholders and manage large amounts of collected data Smart Cities are using ICT to process and </w:t>
      </w:r>
      <w:r w:rsidR="00D95614" w:rsidRPr="002A63BA">
        <w:rPr>
          <w:rFonts w:ascii="Open Sans" w:hAnsi="Open Sans" w:cs="Open Sans"/>
          <w:noProof/>
        </w:rPr>
        <w:t>analyse</w:t>
      </w:r>
      <w:r w:rsidRPr="002A63BA">
        <w:rPr>
          <w:rFonts w:ascii="Open Sans" w:hAnsi="Open Sans" w:cs="Open Sans"/>
          <w:noProof/>
        </w:rPr>
        <w:t xml:space="preserve"> critical information. ICT enables the city to improve the reliability, quality, and performance of different urban services within a city. ICT is also crucial when it comes to reducing resource consumption and reducing different administrative and other costs. ICT works as a </w:t>
      </w:r>
      <w:r w:rsidRPr="002A63BA">
        <w:rPr>
          <w:rFonts w:ascii="Open Sans" w:hAnsi="Open Sans" w:cs="Open Sans"/>
          <w:noProof/>
        </w:rPr>
        <w:lastRenderedPageBreak/>
        <w:t xml:space="preserve">framework for many other Smart City applications, where they work atop the ICT system. Smart cities are also using ICT to improve the lives and interconnectedness between citizens and other stakeholders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 xml:space="preserve">. </w:t>
      </w:r>
    </w:p>
    <w:p w14:paraId="00109F0D" w14:textId="77777777" w:rsidR="00D95614"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Without the usage of ICT, a Smart City cannot exist. </w:t>
      </w:r>
      <w:r w:rsidR="00D95614" w:rsidRPr="002A63BA">
        <w:rPr>
          <w:rFonts w:ascii="Open Sans" w:hAnsi="Open Sans" w:cs="Open Sans"/>
          <w:noProof/>
        </w:rPr>
        <w:t>However,</w:t>
      </w:r>
      <w:r w:rsidRPr="002A63BA">
        <w:rPr>
          <w:rFonts w:ascii="Open Sans" w:hAnsi="Open Sans" w:cs="Open Sans"/>
          <w:noProof/>
        </w:rPr>
        <w:t xml:space="preserve"> ICT cannot function alone and must be paired with intelligent city design which will further provide robustness, scalability and flexibility to the network. In order to improve these traits of a network, a city can follow several different network designs. It is essential for a smart city to design and build autonomous and simplified networks which can be managed by a single controller which reduces the complexity of the system and increases its efficiency. In order to further increase the robustness and flexibility of a Smart City’s network, a city should develop an automated threat detection that will deal with different issues as they arise. Internet of things is also an integral part of a smart city meaning ICT infrastructure should be designed to integrate different IoT applications seamlessly. Designers of ICT systems must keep in mind the scalability as cities will grow and focus on redundant systems which will increase the robustness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 ExcludeYear="1"&gt;&lt;Author&gt;Allied Telesis&lt;/Author&gt;&lt;RecNum&gt;246&lt;/RecNum&gt;&lt;DisplayText&gt;(Allied Telesis)&lt;/DisplayText&gt;&lt;record&gt;&lt;rec-number&gt;246&lt;/rec-number&gt;&lt;foreign-keys&gt;&lt;key app="EN" db-id="9xtppttv1tfpsqedswup2p2w5tvf59x5dt5d" timestamp="1653826621"&gt;246&lt;/key&gt;&lt;/foreign-keys&gt;&lt;ref-type name="Web Page"&gt;12&lt;/ref-type&gt;&lt;contributors&gt;&lt;authors&gt;&lt;author&gt;&lt;style face="normal" font="default" size="100%"&gt;Allied&lt;/style&gt;&lt;style face="normal" font="default" charset="238" size="100%"&gt; &lt;/style&gt;&lt;style face="normal" font="default" size="100%"&gt;Telesis&lt;/style&gt;&lt;style face="normal" font="default" charset="238" size="100%"&gt;,&lt;/style&gt;&lt;/author&gt;&lt;/authors&gt;&lt;/contributors&gt;&lt;titles&gt;&lt;title&gt;ICT: The Fundamental Enabler for Smart Cities&lt;/title&gt;&lt;/titles&gt;&lt;dates&gt;&lt;/dates&gt;&lt;urls&gt;&lt;related-urls&gt;&lt;url&gt;https://www.alliedtelesis.com/si/en/blog/ict-fundamental-enabler-smart-cities&lt;/url&gt;&lt;/related-urls&gt;&lt;/urls&gt;&lt;/record&gt;&lt;/Cite&gt;&lt;/EndNote&gt;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(Allied Telesis)</w:t>
      </w:r>
      <w:r w:rsidR="00A3320D" w:rsidRPr="002A63BA">
        <w:rPr>
          <w:rFonts w:ascii="Open Sans" w:hAnsi="Open Sans" w:cs="Open Sans"/>
          <w:noProof/>
        </w:rPr>
        <w:fldChar w:fldCharType="end"/>
      </w:r>
      <w:r w:rsidRPr="002A63BA">
        <w:rPr>
          <w:rFonts w:ascii="Open Sans" w:hAnsi="Open Sans" w:cs="Open Sans"/>
          <w:noProof/>
        </w:rPr>
        <w:t>.</w:t>
      </w:r>
      <w:bookmarkStart w:id="0" w:name="_a8f24kqehf81" w:colFirst="0" w:colLast="0"/>
      <w:bookmarkEnd w:id="0"/>
    </w:p>
    <w:p w14:paraId="18B2592B" w14:textId="77777777" w:rsidR="00E41773" w:rsidRPr="002A63BA" w:rsidRDefault="00E41773" w:rsidP="00FF3EE4">
      <w:pPr>
        <w:spacing w:line="276" w:lineRule="auto"/>
        <w:rPr>
          <w:rFonts w:ascii="Open Sans" w:hAnsi="Open Sans" w:cs="Open Sans"/>
          <w:noProof/>
        </w:rPr>
      </w:pPr>
      <w:r w:rsidRPr="002A63BA">
        <w:rPr>
          <w:rFonts w:ascii="Open Sans" w:hAnsi="Open Sans" w:cs="Open Sans"/>
          <w:noProof/>
        </w:rPr>
        <w:t xml:space="preserve">This concept of “smartness” would not be possible without the rise of ICT, however, focusing only on the implementation of new technologies does not mean building a smart city. The utilization of those technologies should help accelerate standard operations in cities while positively impacting the life of its citizens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&lt;EndNote&gt;&lt;Cite&gt;&lt;Author&gt;Silva&lt;/Author&gt;&lt;Year&gt;2018&lt;/Year&gt;&lt;RecNum&gt;275&lt;/RecNum&gt;&lt;DisplayText&gt;(Silva, et al., 2018)&lt;/DisplayText&gt;&lt;record&gt;&lt;rec-number&gt;275&lt;/rec-number&gt;&lt;foreign-keys&gt;&lt;key app="EN" db-id="9xtppttv1tfpsqedswup2p2w5tvf59x5dt5d" timestamp="1653899962"&gt;275&lt;/key&gt;&lt;/foreign-keys&gt;&lt;ref-type name="Journal Article"&gt;17&lt;/ref-type&gt;&lt;contributors&gt;&lt;authors&gt;&lt;author&gt;Silva, Bhagya Nathali&lt;/author&gt;&lt;author&gt;Khan, Murad&lt;/author&gt;&lt;author&gt;Han, Kijun&lt;/author&gt;&lt;/authors&gt;&lt;/contributors&gt;&lt;titles&gt;&lt;title&gt;Towards sustainable smart cities: A review of trends, architectures, components, and open challenges in smart cities&lt;/title&gt;&lt;secondary-title&gt;Sustainable Cities and Society&lt;/secondary-title&gt;&lt;/titles&gt;&lt;periodical&gt;&lt;full-title&gt;Sustainable Cities and Society&lt;/full-title&gt;&lt;/periodical&gt;&lt;pages&gt;697-713&lt;/pages&gt;&lt;volume&gt;38&lt;/volume&gt;&lt;dates&gt;&lt;year&gt;2018&lt;/year&gt;&lt;/dates&gt;&lt;isbn&gt;2210-6707&lt;/isbn&gt;&lt;urls&gt;&lt;/urls&gt;&lt;/record&gt;&lt;/Cite&gt;&lt;/EndNote&gt;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(Silva, et al., 2018)</w:t>
      </w:r>
      <w:r w:rsidR="00A3320D" w:rsidRPr="002A63BA">
        <w:rPr>
          <w:rFonts w:ascii="Open Sans" w:hAnsi="Open Sans" w:cs="Open Sans"/>
          <w:noProof/>
        </w:rPr>
        <w:fldChar w:fldCharType="end"/>
      </w:r>
      <w:r w:rsidRPr="002A63BA">
        <w:rPr>
          <w:rFonts w:ascii="Open Sans" w:hAnsi="Open Sans" w:cs="Open Sans"/>
          <w:noProof/>
        </w:rPr>
        <w:t>.</w:t>
      </w:r>
    </w:p>
    <w:p w14:paraId="0D1376E1" w14:textId="77777777" w:rsidR="00C6141A" w:rsidRPr="002A63BA" w:rsidRDefault="00C6141A" w:rsidP="00FF3EE4">
      <w:pPr>
        <w:pStyle w:val="Naslov3"/>
        <w:spacing w:line="276" w:lineRule="auto"/>
        <w:rPr>
          <w:rFonts w:ascii="Open Sans" w:hAnsi="Open Sans" w:cs="Open Sans"/>
          <w:noProof/>
        </w:rPr>
      </w:pPr>
      <w:r w:rsidRPr="002A63BA">
        <w:rPr>
          <w:rFonts w:ascii="Open Sans" w:hAnsi="Open Sans" w:cs="Open Sans"/>
          <w:noProof/>
        </w:rPr>
        <w:t xml:space="preserve">Urban development led by businesses and entrepreneurs </w:t>
      </w:r>
    </w:p>
    <w:p w14:paraId="3EC455F9" w14:textId="77777777" w:rsidR="00C6141A"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A vital trait of a Smart City is their emphasis on business-led urban development which shapes its growth. In most smart cities the businesses and companies are included in the designing of a city or they can even be a crucial architect behind the developments. More and more cities are thus beings shaped by corporations. This ensures the connectedness between the citizens of such a city and different corporations as they are now both stakeholders with a vested interest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w:t>
      </w:r>
      <w:bookmarkStart w:id="1" w:name="_o37zwcxvgxcc" w:colFirst="0" w:colLast="0"/>
      <w:bookmarkEnd w:id="1"/>
    </w:p>
    <w:p w14:paraId="0D22F6A3" w14:textId="77777777" w:rsidR="00C6141A" w:rsidRPr="002A63BA" w:rsidRDefault="00C6141A" w:rsidP="00FF3EE4">
      <w:pPr>
        <w:pStyle w:val="Naslov3"/>
        <w:spacing w:line="276" w:lineRule="auto"/>
        <w:rPr>
          <w:rFonts w:ascii="Open Sans" w:hAnsi="Open Sans" w:cs="Open Sans"/>
          <w:noProof/>
        </w:rPr>
      </w:pPr>
      <w:bookmarkStart w:id="2" w:name="_71mjrhgr83r1" w:colFirst="0" w:colLast="0"/>
      <w:bookmarkEnd w:id="2"/>
      <w:r w:rsidRPr="002A63BA">
        <w:rPr>
          <w:rFonts w:ascii="Open Sans" w:hAnsi="Open Sans" w:cs="Open Sans"/>
          <w:noProof/>
        </w:rPr>
        <w:lastRenderedPageBreak/>
        <w:t>Community development and social capital</w:t>
      </w:r>
    </w:p>
    <w:p w14:paraId="115C8FED" w14:textId="77777777" w:rsidR="00C6141A"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Within a smart city, its citizens must learn to use ICT and other technologies learning to adapt to new innovations and integrate them into their lives. This will allow a community to use new technologies to advance living standards, improve existing systems and design various different applications of new technology in different fields. In order to allow for such integration, communities must strive to increase their social capital improving the relationship and connection between all residents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 xml:space="preserve">. </w:t>
      </w:r>
    </w:p>
    <w:p w14:paraId="270A403B" w14:textId="77777777" w:rsidR="00C6141A" w:rsidRPr="002A63BA" w:rsidRDefault="00C6141A" w:rsidP="00FF3EE4">
      <w:pPr>
        <w:pStyle w:val="Naslov3"/>
        <w:spacing w:line="276" w:lineRule="auto"/>
        <w:rPr>
          <w:rFonts w:ascii="Open Sans" w:hAnsi="Open Sans" w:cs="Open Sans"/>
          <w:noProof/>
        </w:rPr>
      </w:pPr>
      <w:bookmarkStart w:id="3" w:name="_xogekc6bf5jt" w:colFirst="0" w:colLast="0"/>
      <w:bookmarkEnd w:id="3"/>
      <w:r w:rsidRPr="002A63BA">
        <w:rPr>
          <w:rFonts w:ascii="Open Sans" w:hAnsi="Open Sans" w:cs="Open Sans"/>
          <w:noProof/>
        </w:rPr>
        <w:t>Learning and knowledgebase development</w:t>
      </w:r>
    </w:p>
    <w:p w14:paraId="4F4ED5B3" w14:textId="77777777" w:rsidR="00C6141A"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Smart Cities foster a high demand for learning and innovation increasing the creativity of the residents. This allows for the existence of complex institutions of knowledge creation, knowledge management and infrastructure for communication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w:t>
      </w:r>
    </w:p>
    <w:p w14:paraId="1E690BB2" w14:textId="77777777" w:rsidR="00E41773" w:rsidRPr="002A63BA" w:rsidRDefault="00E41773" w:rsidP="00FF3EE4">
      <w:pPr>
        <w:spacing w:line="276" w:lineRule="auto"/>
        <w:rPr>
          <w:rFonts w:ascii="Open Sans" w:hAnsi="Open Sans" w:cs="Open Sans"/>
          <w:noProof/>
        </w:rPr>
      </w:pPr>
      <w:r w:rsidRPr="002A63BA">
        <w:rPr>
          <w:rFonts w:ascii="Open Sans" w:hAnsi="Open Sans" w:cs="Open Sans"/>
          <w:noProof/>
        </w:rPr>
        <w:t xml:space="preserve">The infrastructure is the essential component that cannot be skipped. </w:t>
      </w:r>
      <w:r w:rsidR="007C07C6" w:rsidRPr="002A63BA">
        <w:rPr>
          <w:rFonts w:ascii="Open Sans" w:hAnsi="Open Sans" w:cs="Open Sans"/>
          <w:noProof/>
        </w:rPr>
        <w:t>However, p</w:t>
      </w:r>
      <w:r w:rsidRPr="002A63BA">
        <w:rPr>
          <w:rFonts w:ascii="Open Sans" w:hAnsi="Open Sans" w:cs="Open Sans"/>
          <w:noProof/>
        </w:rPr>
        <w:t xml:space="preserve">ublic institutions and policymakers often overlook the non-Internet technologies that could be used towards building a smart city. Additionally, an often skipped step is process mapping, and understanding all processes in the city, which is necessary for improving them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&lt;EndNote&gt;&lt;Cite&gt;&lt;Author&gt;Baltac&lt;/Author&gt;&lt;Year&gt;2019&lt;/Year&gt;&lt;RecNum&gt;276&lt;/RecNum&gt;&lt;DisplayText&gt;(Baltac, 2019)&lt;/DisplayText&gt;&lt;record&gt;&lt;rec-number&gt;276&lt;/rec-number&gt;&lt;foreign-keys&gt;&lt;key app="EN" db-id="9xtppttv1tfpsqedswup2p2w5tvf59x5dt5d" timestamp="1653900322"&gt;276&lt;/key&gt;&lt;/foreign-keys&gt;&lt;ref-type name="Journal Article"&gt;17&lt;/ref-type&gt;&lt;contributors&gt;&lt;authors&gt;&lt;author&gt;Baltac, Vasile&lt;/author&gt;&lt;/authors&gt;&lt;/contributors&gt;&lt;titles&gt;&lt;title&gt;Smart cities—A view of societal aspects&lt;/title&gt;&lt;secondary-title&gt;Smart Cities&lt;/secondary-title&gt;&lt;/titles&gt;&lt;periodical&gt;&lt;full-title&gt;Smart Cities&lt;/full-title&gt;&lt;/periodical&gt;&lt;pages&gt;538-548&lt;/pages&gt;&lt;volume&gt;2&lt;/volume&gt;&lt;number&gt;4&lt;/number&gt;&lt;dates&gt;&lt;year&gt;2019&lt;/year&gt;&lt;/dates&gt;&lt;urls&gt;&lt;/urls&gt;&lt;/record&gt;&lt;/Cite&gt;&lt;/EndNote&gt;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(Baltac, 2019)</w:t>
      </w:r>
      <w:r w:rsidR="00A3320D" w:rsidRPr="002A63BA">
        <w:rPr>
          <w:rFonts w:ascii="Open Sans" w:hAnsi="Open Sans" w:cs="Open Sans"/>
          <w:noProof/>
        </w:rPr>
        <w:fldChar w:fldCharType="end"/>
      </w:r>
      <w:r w:rsidRPr="002A63BA">
        <w:rPr>
          <w:rFonts w:ascii="Open Sans" w:hAnsi="Open Sans" w:cs="Open Sans"/>
          <w:noProof/>
        </w:rPr>
        <w:t>.</w:t>
      </w:r>
    </w:p>
    <w:p w14:paraId="3EF27312" w14:textId="77777777" w:rsidR="00C6141A" w:rsidRPr="002A63BA" w:rsidRDefault="00C6141A" w:rsidP="00FF3EE4">
      <w:pPr>
        <w:pStyle w:val="Naslov3"/>
        <w:spacing w:line="276" w:lineRule="auto"/>
        <w:rPr>
          <w:rFonts w:ascii="Open Sans" w:hAnsi="Open Sans" w:cs="Open Sans"/>
          <w:noProof/>
        </w:rPr>
      </w:pPr>
      <w:bookmarkStart w:id="4" w:name="_vuoj78c62yhh" w:colFirst="0" w:colLast="0"/>
      <w:bookmarkEnd w:id="4"/>
      <w:r w:rsidRPr="002A63BA">
        <w:rPr>
          <w:rFonts w:ascii="Open Sans" w:hAnsi="Open Sans" w:cs="Open Sans"/>
          <w:noProof/>
        </w:rPr>
        <w:t>Sustainability</w:t>
      </w:r>
    </w:p>
    <w:p w14:paraId="76355759" w14:textId="77777777" w:rsidR="00C6141A" w:rsidRPr="002A63BA" w:rsidRDefault="00C6141A" w:rsidP="00FF3EE4">
      <w:pPr>
        <w:spacing w:line="276" w:lineRule="auto"/>
        <w:rPr>
          <w:rFonts w:ascii="Open Sans" w:hAnsi="Open Sans" w:cs="Open Sans"/>
          <w:noProof/>
        </w:rPr>
      </w:pPr>
      <w:r w:rsidRPr="002A63BA">
        <w:rPr>
          <w:rFonts w:ascii="Open Sans" w:hAnsi="Open Sans" w:cs="Open Sans"/>
          <w:noProof/>
        </w:rPr>
        <w:t xml:space="preserve">Smart Cities invest in social development, infrastructure and ICT systems in such a way that they promote and allow for sustainable growth, increased quality of life and smart management of limited resources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&lt;EndNote&gt;&lt;Cite&gt;&lt;Author&gt;Praharaj&lt;/Author&gt;&lt;Year&gt;2019&lt;/Year&gt;&lt;RecNum&gt;145&lt;/RecNum&gt;&lt;DisplayText&gt;(Praharaj &amp;amp; Han, 2019)&lt;/DisplayText&gt;&lt;record&gt;&lt;rec-number&gt;145&lt;/rec-number&gt;&lt;foreign-keys&gt;&lt;key app="EN" db-id="9xtppttv1tfpsqedswup2p2w5tvf59x5dt5d" timestamp="1644750233"&gt;145&lt;/key&gt;&lt;/foreign-keys&gt;&lt;ref-type name="Journal Article"&gt;17&lt;/ref-type&gt;&lt;contributors&gt;&lt;authors&gt;&lt;author&gt;Praharaj, Sarbeswar&lt;/author&gt;&lt;author&gt;Han, Hoon&lt;/author&gt;&lt;/authors&gt;&lt;/contributors&gt;&lt;titles&gt;&lt;title&gt;Cutting through the clutter of smart city definitions: A reading into the smart city perceptions in India&lt;/title&gt;&lt;secondary-title&gt;City, Culture and Society&lt;/secondary-title&gt;&lt;/titles&gt;&lt;periodical&gt;&lt;full-title&gt;City, Culture and Society&lt;/full-title&gt;&lt;/periodical&gt;&lt;pages&gt;100289&lt;/pages&gt;&lt;volume&gt;18&lt;/volume&gt;&lt;dates&gt;&lt;year&gt;2019&lt;/year&gt;&lt;/dates&gt;&lt;isbn&gt;1877-9166&lt;/isbn&gt;&lt;urls&gt;&lt;/urls&gt;&lt;/record&gt;&lt;/Cite&gt;&lt;/EndNote&gt;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(Praharaj &amp; Han, 2019)</w:t>
      </w:r>
      <w:r w:rsidR="00A3320D" w:rsidRPr="002A63BA">
        <w:rPr>
          <w:rFonts w:ascii="Open Sans" w:hAnsi="Open Sans" w:cs="Open Sans"/>
          <w:noProof/>
        </w:rPr>
        <w:fldChar w:fldCharType="end"/>
      </w:r>
      <w:r w:rsidRPr="002A63BA">
        <w:rPr>
          <w:rFonts w:ascii="Open Sans" w:hAnsi="Open Sans" w:cs="Open Sans"/>
          <w:noProof/>
        </w:rPr>
        <w:t>.</w:t>
      </w:r>
    </w:p>
    <w:p w14:paraId="7764DB0E" w14:textId="5C9BE9B2" w:rsidR="007B0AC5" w:rsidRPr="002A63BA" w:rsidRDefault="007B0AC5" w:rsidP="00FF3EE4">
      <w:pPr>
        <w:pStyle w:val="N1"/>
      </w:pPr>
      <w:r w:rsidRPr="002A63BA">
        <w:t>SMART CITY RESEARCH – A BIBLIOMETRIC ANALYSIS</w:t>
      </w:r>
    </w:p>
    <w:p w14:paraId="421E1F30" w14:textId="77777777"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 xml:space="preserve">To better understand the state of research on the smart city concept a bibliometric analysis was conducted on the Web of Science data in May 2022. Further on, a co-occurrence analysis of author keywords was </w:t>
      </w:r>
      <w:r w:rsidRPr="002A63BA">
        <w:rPr>
          <w:rFonts w:ascii="Open Sans" w:hAnsi="Open Sans" w:cs="Open Sans"/>
          <w:lang w:val="en-US"/>
        </w:rPr>
        <w:lastRenderedPageBreak/>
        <w:t>performed on articles from 2012 to 2021 to examine what are the main topics in smart city discussions across various research areas, namely 1. computer science and information systems, 2. engineering and 3. green, sustainable science, technology field.</w:t>
      </w:r>
    </w:p>
    <w:p w14:paraId="189F4849" w14:textId="343E39DC"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The results show that the smart city topic has first occurred in 1991 but has not been studied extensively until the late 2010’s, specifically more than 80 per cent of the total number of publications until 2022 were published after the year 2017. The number of publications has been in decline since 2019 (see figure 1</w:t>
      </w:r>
      <w:r w:rsidR="001A7FB9" w:rsidRPr="002A63BA">
        <w:rPr>
          <w:rFonts w:ascii="Open Sans" w:hAnsi="Open Sans" w:cs="Open Sans"/>
          <w:lang w:val="en-US"/>
        </w:rPr>
        <w:t>).</w:t>
      </w:r>
      <w:r w:rsidRPr="002A63BA">
        <w:rPr>
          <w:rFonts w:ascii="Open Sans" w:hAnsi="Open Sans" w:cs="Open Sans"/>
          <w:lang w:val="en-US"/>
        </w:rPr>
        <w:t xml:space="preserve"> </w:t>
      </w:r>
    </w:p>
    <w:p w14:paraId="7D60D0FA" w14:textId="77777777" w:rsidR="00AB3BDA" w:rsidRPr="002A63BA" w:rsidRDefault="00AB3BDA" w:rsidP="00FF3EE4">
      <w:pPr>
        <w:spacing w:after="0" w:line="276" w:lineRule="auto"/>
        <w:textAlignment w:val="baseline"/>
        <w:rPr>
          <w:rFonts w:ascii="Open Sans" w:hAnsi="Open Sans" w:cs="Open Sans"/>
          <w:noProof/>
          <w:lang w:val="sl-SI" w:eastAsia="sl-SI"/>
        </w:rPr>
      </w:pPr>
    </w:p>
    <w:p w14:paraId="54FE7A24" w14:textId="22393BB3" w:rsidR="007B0AC5" w:rsidRPr="002A63BA" w:rsidRDefault="007B0AC5" w:rsidP="00FF3EE4">
      <w:pPr>
        <w:spacing w:after="0" w:line="276" w:lineRule="auto"/>
        <w:jc w:val="center"/>
        <w:textAlignment w:val="baseline"/>
        <w:rPr>
          <w:rFonts w:ascii="Open Sans" w:eastAsia="Times New Roman" w:hAnsi="Open Sans" w:cs="Open Sans"/>
        </w:rPr>
      </w:pPr>
      <w:r w:rsidRPr="002A63BA">
        <w:rPr>
          <w:rFonts w:ascii="Open Sans" w:hAnsi="Open Sans" w:cs="Open Sans"/>
          <w:noProof/>
          <w:lang w:val="hr-HR" w:eastAsia="hr-HR"/>
        </w:rPr>
        <w:drawing>
          <wp:inline distT="0" distB="0" distL="0" distR="0" wp14:anchorId="1260C285" wp14:editId="4D7FAF9D">
            <wp:extent cx="3718287" cy="1950720"/>
            <wp:effectExtent l="0" t="0" r="0" b="0"/>
            <wp:docPr id="10" name="Picture 1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histogram&#10;&#10;Description automatically generated"/>
                    <pic:cNvPicPr>
                      <a:picLocks noChangeAspect="1" noChangeArrowheads="1"/>
                    </pic:cNvPicPr>
                  </pic:nvPicPr>
                  <pic:blipFill rotWithShape="1">
                    <a:blip r:embed="rId9" cstate="screen">
                      <a:extLst>
                        <a:ext uri="{28A0092B-C50C-407E-A947-70E740481C1C}">
                          <a14:useLocalDpi xmlns:a14="http://schemas.microsoft.com/office/drawing/2010/main"/>
                        </a:ext>
                      </a:extLst>
                    </a:blip>
                    <a:srcRect l="1028" t="12735" r="2619" b="3162"/>
                    <a:stretch/>
                  </pic:blipFill>
                  <pic:spPr bwMode="auto">
                    <a:xfrm>
                      <a:off x="0" y="0"/>
                      <a:ext cx="3734744" cy="1959354"/>
                    </a:xfrm>
                    <a:prstGeom prst="rect">
                      <a:avLst/>
                    </a:prstGeom>
                    <a:noFill/>
                    <a:ln>
                      <a:noFill/>
                    </a:ln>
                    <a:extLst>
                      <a:ext uri="{53640926-AAD7-44D8-BBD7-CCE9431645EC}">
                        <a14:shadowObscured xmlns:a14="http://schemas.microsoft.com/office/drawing/2010/main"/>
                      </a:ext>
                    </a:extLst>
                  </pic:spPr>
                </pic:pic>
              </a:graphicData>
            </a:graphic>
          </wp:inline>
        </w:drawing>
      </w:r>
    </w:p>
    <w:p w14:paraId="3E76999E" w14:textId="4A1504BD" w:rsidR="00483216" w:rsidRPr="002A63BA" w:rsidRDefault="00483216" w:rsidP="00FF3EE4">
      <w:pPr>
        <w:pStyle w:val="Opisslike"/>
        <w:keepNext/>
        <w:spacing w:line="276" w:lineRule="auto"/>
        <w:rPr>
          <w:rFonts w:ascii="Open Sans" w:hAnsi="Open Sans" w:cs="Open Sans"/>
          <w:color w:val="auto"/>
          <w:sz w:val="22"/>
          <w:szCs w:val="22"/>
        </w:rPr>
      </w:pPr>
      <w:r w:rsidRPr="002A63BA">
        <w:rPr>
          <w:rFonts w:ascii="Open Sans" w:hAnsi="Open Sans" w:cs="Open Sans"/>
          <w:i w:val="0"/>
          <w:iCs w:val="0"/>
          <w:color w:val="auto"/>
          <w:sz w:val="22"/>
          <w:szCs w:val="22"/>
        </w:rPr>
        <w:t xml:space="preserve">Figure 1: </w:t>
      </w:r>
      <w:r w:rsidRPr="002A63BA">
        <w:rPr>
          <w:rFonts w:ascii="Open Sans" w:hAnsi="Open Sans" w:cs="Open Sans"/>
          <w:color w:val="auto"/>
          <w:sz w:val="22"/>
          <w:szCs w:val="22"/>
        </w:rPr>
        <w:t>The number of publications on the smart city topic in the web of science database through the years </w:t>
      </w:r>
    </w:p>
    <w:p w14:paraId="41A0A838" w14:textId="2885F899"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Most publications are either articles (48 %) or conference proceedings (42 %) (see figure 2), from the field of computer science, engineering, and telecommunications, published by IEEE, Springer Nature, and Elsevier. From that it is evident, that the most prominent disciplines covering the concept are technical, since the most research has been done on technological aspect of it. The vast number of conferences furthermore indicates on the attractiveness of the topic. The main centers of smart city research are China, USA, and India, from where the most authors are coming from.</w:t>
      </w:r>
    </w:p>
    <w:p w14:paraId="15C37862" w14:textId="77777777" w:rsidR="007B0AC5" w:rsidRPr="002A63BA" w:rsidRDefault="007B0AC5" w:rsidP="00FF3EE4">
      <w:pPr>
        <w:spacing w:after="0" w:line="276" w:lineRule="auto"/>
        <w:jc w:val="center"/>
        <w:textAlignment w:val="baseline"/>
        <w:rPr>
          <w:rFonts w:ascii="Open Sans" w:eastAsia="Times New Roman" w:hAnsi="Open Sans" w:cs="Open Sans"/>
          <w:lang w:val="en-US"/>
        </w:rPr>
      </w:pPr>
      <w:r w:rsidRPr="002A63BA">
        <w:rPr>
          <w:rFonts w:ascii="Open Sans" w:hAnsi="Open Sans" w:cs="Open Sans"/>
          <w:noProof/>
          <w:lang w:val="hr-HR" w:eastAsia="hr-HR"/>
        </w:rPr>
        <w:lastRenderedPageBreak/>
        <w:drawing>
          <wp:inline distT="0" distB="0" distL="0" distR="0" wp14:anchorId="6A79DCC4" wp14:editId="69652BA6">
            <wp:extent cx="3443547" cy="1960419"/>
            <wp:effectExtent l="0" t="0" r="5080" b="1905"/>
            <wp:docPr id="1" name="Chart 1">
              <a:extLst xmlns:a="http://schemas.openxmlformats.org/drawingml/2006/main">
                <a:ext uri="{FF2B5EF4-FFF2-40B4-BE49-F238E27FC236}">
                  <a16:creationId xmlns:a16="http://schemas.microsoft.com/office/drawing/2014/main" id="{BBBEB924-BB2A-8BE5-2560-341E474833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EA9FE68" w14:textId="71A9B52D" w:rsidR="00483216" w:rsidRPr="002A63BA" w:rsidRDefault="00483216" w:rsidP="00FF3EE4">
      <w:pPr>
        <w:pStyle w:val="Opisslike"/>
        <w:keepNext/>
        <w:spacing w:line="276" w:lineRule="auto"/>
        <w:jc w:val="left"/>
        <w:rPr>
          <w:rFonts w:ascii="Open Sans" w:hAnsi="Open Sans" w:cs="Open Sans"/>
          <w:color w:val="auto"/>
          <w:sz w:val="22"/>
          <w:szCs w:val="22"/>
        </w:rPr>
      </w:pPr>
      <w:r w:rsidRPr="002A63BA">
        <w:rPr>
          <w:rFonts w:ascii="Open Sans" w:hAnsi="Open Sans" w:cs="Open Sans"/>
          <w:i w:val="0"/>
          <w:iCs w:val="0"/>
          <w:color w:val="auto"/>
          <w:sz w:val="22"/>
          <w:szCs w:val="22"/>
        </w:rPr>
        <w:t xml:space="preserve">Figure 2: </w:t>
      </w:r>
      <w:r w:rsidRPr="002A63BA">
        <w:rPr>
          <w:rFonts w:ascii="Open Sans" w:hAnsi="Open Sans" w:cs="Open Sans"/>
          <w:color w:val="auto"/>
          <w:sz w:val="22"/>
          <w:szCs w:val="22"/>
        </w:rPr>
        <w:t>A share of publications on smart city topic by type</w:t>
      </w:r>
    </w:p>
    <w:p w14:paraId="76FECF4F" w14:textId="0494771B"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 xml:space="preserve">The co-occurrence analysis was performed on author keywords on a sample of articles published in the years between 2012 and 2021, including 5.492 publications. The sample was further divided into three subsamples by research areas of interest, since the main objective of the analysis was to find the information on how research topics on the smart city concept varies across research areas. The first subsample included 1.282 articles from the WoS category “computer science, information systems”, the second one included 1.813 articles from the WoS category “engineering”, and the third one 535 articles from the WoS category “green, sustainable science, technology”. The mentioned categories were selected with the aim to get a more technological perspective together with sustainable fields perspective, since they are the main factors of the explored concept. For each sample, the co-occurrence analysis was performed excluding keywords “smart city” and “smart cities”, since they are related to all the other keywords. </w:t>
      </w:r>
    </w:p>
    <w:p w14:paraId="2863FA78" w14:textId="77777777" w:rsidR="00A3320D" w:rsidRPr="002A63BA" w:rsidRDefault="00A3320D" w:rsidP="00FF3EE4">
      <w:pPr>
        <w:pStyle w:val="Naslov2"/>
        <w:spacing w:line="276" w:lineRule="auto"/>
        <w:rPr>
          <w:rFonts w:ascii="Open Sans" w:eastAsiaTheme="minorHAnsi" w:hAnsi="Open Sans" w:cs="Open Sans"/>
          <w:sz w:val="22"/>
          <w:szCs w:val="22"/>
          <w:lang w:val="en-US"/>
        </w:rPr>
      </w:pPr>
      <w:r w:rsidRPr="002A63BA">
        <w:rPr>
          <w:rFonts w:ascii="Open Sans" w:eastAsiaTheme="minorHAnsi" w:hAnsi="Open Sans" w:cs="Open Sans"/>
          <w:sz w:val="22"/>
          <w:szCs w:val="22"/>
        </w:rPr>
        <w:lastRenderedPageBreak/>
        <w:t>Computer science and information systems</w:t>
      </w:r>
    </w:p>
    <w:p w14:paraId="2ECACF44" w14:textId="57188E41" w:rsidR="001E0C2B" w:rsidRPr="002A63BA" w:rsidRDefault="001E0C2B" w:rsidP="00FF3EE4">
      <w:pPr>
        <w:spacing w:line="276" w:lineRule="auto"/>
        <w:jc w:val="center"/>
        <w:rPr>
          <w:rFonts w:ascii="Open Sans" w:hAnsi="Open Sans" w:cs="Open Sans"/>
          <w:lang w:val="en-US"/>
        </w:rPr>
      </w:pPr>
      <w:r w:rsidRPr="002A63BA">
        <w:rPr>
          <w:rFonts w:ascii="Open Sans" w:hAnsi="Open Sans" w:cs="Open Sans"/>
          <w:noProof/>
          <w:lang w:val="hr-HR" w:eastAsia="hr-HR"/>
        </w:rPr>
        <w:drawing>
          <wp:inline distT="0" distB="0" distL="0" distR="0" wp14:anchorId="3F5389B8" wp14:editId="70694759">
            <wp:extent cx="4171614" cy="3426460"/>
            <wp:effectExtent l="0" t="0" r="635" b="254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4175735" cy="3429845"/>
                    </a:xfrm>
                    <a:prstGeom prst="rect">
                      <a:avLst/>
                    </a:prstGeom>
                    <a:ln>
                      <a:noFill/>
                    </a:ln>
                    <a:extLst>
                      <a:ext uri="{53640926-AAD7-44D8-BBD7-CCE9431645EC}">
                        <a14:shadowObscured xmlns:a14="http://schemas.microsoft.com/office/drawing/2010/main"/>
                      </a:ext>
                    </a:extLst>
                  </pic:spPr>
                </pic:pic>
              </a:graphicData>
            </a:graphic>
          </wp:inline>
        </w:drawing>
      </w:r>
    </w:p>
    <w:p w14:paraId="37A4CC02" w14:textId="7214A044" w:rsidR="00483216" w:rsidRPr="002A63BA" w:rsidRDefault="00483216" w:rsidP="00FF3EE4">
      <w:pPr>
        <w:pStyle w:val="Opisslike"/>
        <w:keepNext/>
        <w:spacing w:line="276" w:lineRule="auto"/>
        <w:rPr>
          <w:rFonts w:ascii="Open Sans" w:hAnsi="Open Sans" w:cs="Open Sans"/>
          <w:i w:val="0"/>
          <w:iCs w:val="0"/>
          <w:color w:val="auto"/>
          <w:sz w:val="22"/>
          <w:szCs w:val="22"/>
        </w:rPr>
      </w:pPr>
      <w:r w:rsidRPr="002A63BA">
        <w:rPr>
          <w:rFonts w:ascii="Open Sans" w:hAnsi="Open Sans" w:cs="Open Sans"/>
          <w:i w:val="0"/>
          <w:iCs w:val="0"/>
          <w:color w:val="auto"/>
          <w:sz w:val="22"/>
          <w:szCs w:val="22"/>
        </w:rPr>
        <w:t xml:space="preserve">Figure 3: </w:t>
      </w:r>
      <w:r w:rsidRPr="002A63BA">
        <w:rPr>
          <w:rFonts w:ascii="Open Sans" w:hAnsi="Open Sans" w:cs="Open Sans"/>
          <w:color w:val="auto"/>
          <w:sz w:val="22"/>
          <w:szCs w:val="22"/>
        </w:rPr>
        <w:t>Keyword co-occurrence network of smart city research in computer science and information systems</w:t>
      </w:r>
    </w:p>
    <w:p w14:paraId="0C20C53C" w14:textId="3FD3B3C8"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Figure 3 indicates that the smart city research topics in computer science and information systems</w:t>
      </w:r>
      <w:r w:rsidRPr="002A63BA">
        <w:rPr>
          <w:rFonts w:ascii="Open Sans" w:hAnsi="Open Sans" w:cs="Open Sans"/>
        </w:rPr>
        <w:t xml:space="preserve"> can be divided into </w:t>
      </w:r>
      <w:r w:rsidRPr="002A63BA">
        <w:rPr>
          <w:rFonts w:ascii="Open Sans" w:hAnsi="Open Sans" w:cs="Open Sans"/>
          <w:lang w:val="en-US"/>
        </w:rPr>
        <w:t>five</w:t>
      </w:r>
      <w:r w:rsidRPr="002A63BA">
        <w:rPr>
          <w:rFonts w:ascii="Open Sans" w:hAnsi="Open Sans" w:cs="Open Sans"/>
        </w:rPr>
        <w:t xml:space="preserve"> clusters</w:t>
      </w:r>
      <w:r w:rsidRPr="002A63BA">
        <w:rPr>
          <w:rFonts w:ascii="Open Sans" w:hAnsi="Open Sans" w:cs="Open Sans"/>
          <w:lang w:val="en-US"/>
        </w:rPr>
        <w:t xml:space="preserve"> differentiated by a different color (yellow, purple, blue, green, and red) </w:t>
      </w:r>
      <w:r w:rsidRPr="002A63BA">
        <w:rPr>
          <w:rFonts w:ascii="Open Sans" w:hAnsi="Open Sans" w:cs="Open Sans"/>
        </w:rPr>
        <w:t xml:space="preserve">with the keywords within clusters of the same </w:t>
      </w:r>
      <w:r w:rsidRPr="002A63BA">
        <w:rPr>
          <w:rFonts w:ascii="Open Sans" w:hAnsi="Open Sans" w:cs="Open Sans"/>
          <w:lang w:val="en-US"/>
        </w:rPr>
        <w:t>col</w:t>
      </w:r>
      <w:r w:rsidRPr="002A63BA">
        <w:rPr>
          <w:rFonts w:ascii="Open Sans" w:hAnsi="Open Sans" w:cs="Open Sans"/>
        </w:rPr>
        <w:t>o</w:t>
      </w:r>
      <w:r w:rsidRPr="002A63BA">
        <w:rPr>
          <w:rFonts w:ascii="Open Sans" w:hAnsi="Open Sans" w:cs="Open Sans"/>
          <w:lang w:val="en-US"/>
        </w:rPr>
        <w:t>u</w:t>
      </w:r>
      <w:r w:rsidRPr="002A63BA">
        <w:rPr>
          <w:rFonts w:ascii="Open Sans" w:hAnsi="Open Sans" w:cs="Open Sans"/>
        </w:rPr>
        <w:t>r having great similarities.</w:t>
      </w:r>
      <w:r w:rsidRPr="002A63BA">
        <w:rPr>
          <w:rFonts w:ascii="Open Sans" w:hAnsi="Open Sans" w:cs="Open Sans"/>
          <w:lang w:val="en-US"/>
        </w:rPr>
        <w:t xml:space="preserve"> The yellow cluster focuses on security and safety of blockchain technology, and internet of things (IoT). The blue cluster focuses on energy management and computing in IoT. The green cluster focuses on data analytics on big data. The purple cluster focuses on edge computing and computer architecture. And the red cluster focuses on the use of 5G, sensors and routing for data collection and optimization.</w:t>
      </w:r>
    </w:p>
    <w:p w14:paraId="603B577A" w14:textId="77777777" w:rsidR="00A3320D" w:rsidRPr="002A63BA" w:rsidRDefault="00A3320D" w:rsidP="00FF3EE4">
      <w:pPr>
        <w:pStyle w:val="Naslov2"/>
        <w:spacing w:line="276" w:lineRule="auto"/>
        <w:rPr>
          <w:rFonts w:ascii="Open Sans" w:hAnsi="Open Sans" w:cs="Open Sans"/>
          <w:sz w:val="22"/>
          <w:szCs w:val="22"/>
          <w:lang w:val="en-US"/>
        </w:rPr>
      </w:pPr>
      <w:r w:rsidRPr="002A63BA">
        <w:rPr>
          <w:rFonts w:ascii="Open Sans" w:eastAsiaTheme="minorHAnsi" w:hAnsi="Open Sans" w:cs="Open Sans"/>
          <w:sz w:val="22"/>
          <w:szCs w:val="22"/>
        </w:rPr>
        <w:lastRenderedPageBreak/>
        <w:t>Engineering</w:t>
      </w:r>
    </w:p>
    <w:p w14:paraId="76B1C1EE" w14:textId="19BD9813" w:rsidR="001E0C2B" w:rsidRPr="002A63BA" w:rsidRDefault="001E0C2B" w:rsidP="00FF3EE4">
      <w:pPr>
        <w:spacing w:after="0" w:line="276" w:lineRule="auto"/>
        <w:jc w:val="center"/>
        <w:textAlignment w:val="baseline"/>
        <w:rPr>
          <w:rFonts w:ascii="Open Sans" w:eastAsia="Times New Roman" w:hAnsi="Open Sans" w:cs="Open Sans"/>
          <w:b/>
          <w:bCs/>
          <w:lang w:val="en-US"/>
        </w:rPr>
      </w:pPr>
      <w:r w:rsidRPr="002A63BA">
        <w:rPr>
          <w:rFonts w:ascii="Open Sans" w:eastAsia="Times New Roman" w:hAnsi="Open Sans" w:cs="Open Sans"/>
          <w:b/>
          <w:bCs/>
          <w:noProof/>
          <w:lang w:val="hr-HR" w:eastAsia="hr-HR"/>
        </w:rPr>
        <w:drawing>
          <wp:inline distT="0" distB="0" distL="0" distR="0" wp14:anchorId="1791F6CE" wp14:editId="3A04D210">
            <wp:extent cx="4881217" cy="3556000"/>
            <wp:effectExtent l="0" t="0" r="0" b="6350"/>
            <wp:docPr id="5" name="Picture 5"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 schematic&#10;&#10;Description automatically generated"/>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885383" cy="3559035"/>
                    </a:xfrm>
                    <a:prstGeom prst="rect">
                      <a:avLst/>
                    </a:prstGeom>
                    <a:ln>
                      <a:noFill/>
                    </a:ln>
                    <a:extLst>
                      <a:ext uri="{53640926-AAD7-44D8-BBD7-CCE9431645EC}">
                        <a14:shadowObscured xmlns:a14="http://schemas.microsoft.com/office/drawing/2010/main"/>
                      </a:ext>
                    </a:extLst>
                  </pic:spPr>
                </pic:pic>
              </a:graphicData>
            </a:graphic>
          </wp:inline>
        </w:drawing>
      </w:r>
    </w:p>
    <w:p w14:paraId="102AE05A" w14:textId="77777777" w:rsidR="007B0AC5" w:rsidRPr="002A63BA" w:rsidRDefault="007B0AC5" w:rsidP="00FF3EE4">
      <w:pPr>
        <w:spacing w:after="0" w:line="276" w:lineRule="auto"/>
        <w:textAlignment w:val="baseline"/>
        <w:rPr>
          <w:rFonts w:ascii="Open Sans" w:hAnsi="Open Sans" w:cs="Open Sans"/>
          <w:lang w:val="en-US"/>
        </w:rPr>
      </w:pPr>
    </w:p>
    <w:p w14:paraId="1C1D886C" w14:textId="190E9FAB" w:rsidR="00483216" w:rsidRPr="002A63BA" w:rsidRDefault="00483216" w:rsidP="00FF3EE4">
      <w:pPr>
        <w:pStyle w:val="Opisslike"/>
        <w:keepNext/>
        <w:spacing w:line="276" w:lineRule="auto"/>
        <w:jc w:val="left"/>
        <w:rPr>
          <w:rFonts w:ascii="Open Sans" w:hAnsi="Open Sans" w:cs="Open Sans"/>
          <w:i w:val="0"/>
          <w:iCs w:val="0"/>
          <w:color w:val="auto"/>
          <w:sz w:val="22"/>
          <w:szCs w:val="22"/>
        </w:rPr>
      </w:pPr>
      <w:r w:rsidRPr="002A63BA">
        <w:rPr>
          <w:rFonts w:ascii="Open Sans" w:hAnsi="Open Sans" w:cs="Open Sans"/>
          <w:i w:val="0"/>
          <w:iCs w:val="0"/>
          <w:color w:val="auto"/>
          <w:sz w:val="22"/>
          <w:szCs w:val="22"/>
        </w:rPr>
        <w:t xml:space="preserve">Figure 4: </w:t>
      </w:r>
      <w:r w:rsidRPr="002A63BA">
        <w:rPr>
          <w:rFonts w:ascii="Open Sans" w:hAnsi="Open Sans" w:cs="Open Sans"/>
          <w:color w:val="auto"/>
          <w:sz w:val="22"/>
          <w:szCs w:val="22"/>
        </w:rPr>
        <w:t>Keyword co-occurrence network of smart city research in engineering</w:t>
      </w:r>
    </w:p>
    <w:p w14:paraId="57EDA945" w14:textId="0FB489F7" w:rsidR="007B0AC5" w:rsidRPr="002A63BA" w:rsidRDefault="007B0AC5" w:rsidP="00FF3EE4">
      <w:pPr>
        <w:spacing w:line="276" w:lineRule="auto"/>
        <w:rPr>
          <w:rFonts w:ascii="Open Sans" w:hAnsi="Open Sans" w:cs="Open Sans"/>
          <w:lang w:val="en-US"/>
        </w:rPr>
      </w:pPr>
      <w:r w:rsidRPr="002A63BA">
        <w:rPr>
          <w:rFonts w:ascii="Open Sans" w:hAnsi="Open Sans" w:cs="Open Sans"/>
          <w:lang w:val="en-US"/>
        </w:rPr>
        <w:t>Figure 4 indicates that the smart city research topics in engineering</w:t>
      </w:r>
      <w:r w:rsidRPr="002A63BA">
        <w:rPr>
          <w:rFonts w:ascii="Open Sans" w:hAnsi="Open Sans" w:cs="Open Sans"/>
        </w:rPr>
        <w:t xml:space="preserve"> can </w:t>
      </w:r>
      <w:r w:rsidRPr="002A63BA">
        <w:rPr>
          <w:rFonts w:ascii="Open Sans" w:hAnsi="Open Sans" w:cs="Open Sans"/>
          <w:lang w:val="en-US"/>
        </w:rPr>
        <w:t xml:space="preserve">also </w:t>
      </w:r>
      <w:r w:rsidRPr="002A63BA">
        <w:rPr>
          <w:rFonts w:ascii="Open Sans" w:hAnsi="Open Sans" w:cs="Open Sans"/>
        </w:rPr>
        <w:t xml:space="preserve">be divided into </w:t>
      </w:r>
      <w:r w:rsidRPr="002A63BA">
        <w:rPr>
          <w:rFonts w:ascii="Open Sans" w:hAnsi="Open Sans" w:cs="Open Sans"/>
          <w:lang w:val="en-US"/>
        </w:rPr>
        <w:t>five</w:t>
      </w:r>
      <w:r w:rsidRPr="002A63BA">
        <w:rPr>
          <w:rFonts w:ascii="Open Sans" w:hAnsi="Open Sans" w:cs="Open Sans"/>
        </w:rPr>
        <w:t xml:space="preserve"> clusters</w:t>
      </w:r>
      <w:r w:rsidRPr="002A63BA">
        <w:rPr>
          <w:rFonts w:ascii="Open Sans" w:hAnsi="Open Sans" w:cs="Open Sans"/>
          <w:lang w:val="en-US"/>
        </w:rPr>
        <w:t xml:space="preserve"> (yellow, purple, blue, green, and red). The yellow cluster focuses on cloud and edge computing allowing for interoperability and monitoring. The blue cluster focuses on security and privacy of blockchain 5G technology. The green cluster focuses on machine learning, deep learning, artificial intelligence (AI), together with sustainability. The purple cluster focuses on big data analysis and fog computing. And the red cluster focuses mainly on the use of sensors and energy management in IoT.</w:t>
      </w:r>
    </w:p>
    <w:p w14:paraId="5383AE55" w14:textId="77777777" w:rsidR="007B0AC5" w:rsidRPr="002A63BA" w:rsidRDefault="00A3320D" w:rsidP="00FF3EE4">
      <w:pPr>
        <w:pStyle w:val="Naslov2"/>
        <w:spacing w:line="276" w:lineRule="auto"/>
        <w:rPr>
          <w:rFonts w:ascii="Open Sans" w:eastAsia="Times New Roman" w:hAnsi="Open Sans" w:cs="Open Sans"/>
          <w:sz w:val="22"/>
          <w:szCs w:val="22"/>
          <w:lang w:val="en-US"/>
        </w:rPr>
      </w:pPr>
      <w:r w:rsidRPr="002A63BA">
        <w:rPr>
          <w:rFonts w:ascii="Open Sans" w:hAnsi="Open Sans" w:cs="Open Sans"/>
          <w:sz w:val="22"/>
          <w:szCs w:val="22"/>
        </w:rPr>
        <w:lastRenderedPageBreak/>
        <w:t>Green and sustainable science technology</w:t>
      </w:r>
    </w:p>
    <w:p w14:paraId="7F130F5E" w14:textId="456F82F3" w:rsidR="001E0C2B" w:rsidRPr="002A63BA" w:rsidRDefault="001E0C2B" w:rsidP="00FF3EE4">
      <w:pPr>
        <w:spacing w:after="0" w:line="276" w:lineRule="auto"/>
        <w:jc w:val="center"/>
        <w:textAlignment w:val="baseline"/>
        <w:rPr>
          <w:rFonts w:ascii="Open Sans" w:eastAsia="Times New Roman" w:hAnsi="Open Sans" w:cs="Open Sans"/>
          <w:lang w:val="en-US"/>
        </w:rPr>
      </w:pPr>
      <w:r w:rsidRPr="002A63BA">
        <w:rPr>
          <w:rFonts w:ascii="Open Sans" w:eastAsia="Times New Roman" w:hAnsi="Open Sans" w:cs="Open Sans"/>
          <w:noProof/>
          <w:lang w:val="hr-HR" w:eastAsia="hr-HR"/>
        </w:rPr>
        <w:drawing>
          <wp:inline distT="0" distB="0" distL="0" distR="0" wp14:anchorId="134F9CC3" wp14:editId="75720680">
            <wp:extent cx="4514810" cy="3562350"/>
            <wp:effectExtent l="0" t="0" r="635" b="0"/>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diagram&#10;&#10;Description automatically generated"/>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4524226" cy="3569780"/>
                    </a:xfrm>
                    <a:prstGeom prst="rect">
                      <a:avLst/>
                    </a:prstGeom>
                    <a:ln>
                      <a:noFill/>
                    </a:ln>
                    <a:extLst>
                      <a:ext uri="{53640926-AAD7-44D8-BBD7-CCE9431645EC}">
                        <a14:shadowObscured xmlns:a14="http://schemas.microsoft.com/office/drawing/2010/main"/>
                      </a:ext>
                    </a:extLst>
                  </pic:spPr>
                </pic:pic>
              </a:graphicData>
            </a:graphic>
          </wp:inline>
        </w:drawing>
      </w:r>
    </w:p>
    <w:p w14:paraId="060177D3" w14:textId="242AD339" w:rsidR="00483216" w:rsidRPr="002A63BA" w:rsidRDefault="00483216" w:rsidP="00FF3EE4">
      <w:pPr>
        <w:pStyle w:val="Opisslike"/>
        <w:keepNext/>
        <w:spacing w:line="276" w:lineRule="auto"/>
        <w:jc w:val="left"/>
        <w:rPr>
          <w:rFonts w:ascii="Open Sans" w:hAnsi="Open Sans" w:cs="Open Sans"/>
          <w:color w:val="auto"/>
          <w:sz w:val="22"/>
          <w:szCs w:val="22"/>
        </w:rPr>
      </w:pPr>
      <w:r w:rsidRPr="002A63BA">
        <w:rPr>
          <w:rFonts w:ascii="Open Sans" w:hAnsi="Open Sans" w:cs="Open Sans"/>
          <w:i w:val="0"/>
          <w:iCs w:val="0"/>
          <w:color w:val="auto"/>
          <w:sz w:val="22"/>
          <w:szCs w:val="22"/>
        </w:rPr>
        <w:t xml:space="preserve">Figure 5: </w:t>
      </w:r>
      <w:r w:rsidRPr="002A63BA">
        <w:rPr>
          <w:rFonts w:ascii="Open Sans" w:hAnsi="Open Sans" w:cs="Open Sans"/>
          <w:color w:val="auto"/>
          <w:sz w:val="22"/>
          <w:szCs w:val="22"/>
        </w:rPr>
        <w:t>Keyword co-occurrence network of smart city research in green, sustainable science technology</w:t>
      </w:r>
    </w:p>
    <w:p w14:paraId="66428B4E" w14:textId="42E92A1D" w:rsidR="007B0AC5" w:rsidRPr="002A63BA" w:rsidRDefault="007B0AC5" w:rsidP="00FF3EE4">
      <w:pPr>
        <w:spacing w:line="276" w:lineRule="auto"/>
        <w:rPr>
          <w:rFonts w:ascii="Open Sans" w:eastAsia="Times New Roman" w:hAnsi="Open Sans" w:cs="Open Sans"/>
          <w:lang w:val="en-US"/>
        </w:rPr>
      </w:pPr>
      <w:r w:rsidRPr="002A63BA">
        <w:rPr>
          <w:rFonts w:ascii="Open Sans" w:hAnsi="Open Sans" w:cs="Open Sans"/>
          <w:lang w:val="en-US"/>
        </w:rPr>
        <w:t xml:space="preserve">Figure 5 indicates that the smart city research topics in green, sustainable science </w:t>
      </w:r>
      <w:r w:rsidRPr="002A63BA">
        <w:rPr>
          <w:rFonts w:ascii="Open Sans" w:hAnsi="Open Sans" w:cs="Open Sans"/>
        </w:rPr>
        <w:t xml:space="preserve">can be divided into </w:t>
      </w:r>
      <w:r w:rsidRPr="002A63BA">
        <w:rPr>
          <w:rFonts w:ascii="Open Sans" w:hAnsi="Open Sans" w:cs="Open Sans"/>
          <w:lang w:val="en-US"/>
        </w:rPr>
        <w:t>nine</w:t>
      </w:r>
      <w:r w:rsidRPr="002A63BA">
        <w:rPr>
          <w:rFonts w:ascii="Open Sans" w:hAnsi="Open Sans" w:cs="Open Sans"/>
        </w:rPr>
        <w:t xml:space="preserve"> clusters</w:t>
      </w:r>
      <w:r w:rsidRPr="002A63BA">
        <w:rPr>
          <w:rFonts w:ascii="Open Sans" w:hAnsi="Open Sans" w:cs="Open Sans"/>
          <w:lang w:val="en-US"/>
        </w:rPr>
        <w:t xml:space="preserve"> (yellow, purple, light blue, dark blue, pink, red, orange, brown, and green). The yellow cluster focuses on blockchain technology and deep learning use for achieving sustainability and resilience of cities. The light blue cluster focuses on urban planning related to machine learning and information communication technology (ICT). The dark blue cluster focuses on IoT, big data, AI, machine learning, cloud computing etc. related to pollution. The green cluster gives all focus on sustainability in smart cities related to climate change and technology. The purple cluster focuses on the governance of urban development related to renewable energy and smart grid. The red cluster focuses on the sustainable development, government and sharing economy, similarly to the green cluster. The pink cluster focuses on city initiatives </w:t>
      </w:r>
      <w:r w:rsidRPr="002A63BA">
        <w:rPr>
          <w:rFonts w:ascii="Open Sans" w:hAnsi="Open Sans" w:cs="Open Sans"/>
          <w:lang w:val="en-US"/>
        </w:rPr>
        <w:lastRenderedPageBreak/>
        <w:t>related to smart mobility and transportation. The brown cluster focuses on energy efficiency related to IoT. And the orange cluster focuses on smart governance, mobility, and quality of life.</w:t>
      </w:r>
    </w:p>
    <w:p w14:paraId="3C73BA2D" w14:textId="2E43163D" w:rsidR="00FA7CC1" w:rsidRPr="002A63BA" w:rsidRDefault="007B0AC5" w:rsidP="00FF3EE4">
      <w:pPr>
        <w:pStyle w:val="N1"/>
      </w:pPr>
      <w:r w:rsidRPr="002A63BA">
        <w:t xml:space="preserve">CURRENT SMART CITY RELATED </w:t>
      </w:r>
      <w:r w:rsidR="00361150" w:rsidRPr="002A63BA">
        <w:t>TRENDS</w:t>
      </w:r>
    </w:p>
    <w:p w14:paraId="3EBA2E75"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Cities are currently experiencing revolutions in terms of planning and what defines a good life for their residents. There are several trends which are crucial to understanding what direction city planning will take. Each city will have its own unique circumstances and technicalities so now every trend can be utilized in every city. </w:t>
      </w:r>
      <w:r w:rsidR="001909EF" w:rsidRPr="002A63BA">
        <w:rPr>
          <w:rFonts w:ascii="Open Sans" w:hAnsi="Open Sans" w:cs="Open Sans"/>
          <w:noProof/>
        </w:rPr>
        <w:t>Different literature identifies</w:t>
      </w:r>
      <w:r w:rsidRPr="002A63BA">
        <w:rPr>
          <w:rFonts w:ascii="Open Sans" w:hAnsi="Open Sans" w:cs="Open Sans"/>
          <w:noProof/>
        </w:rPr>
        <w:t xml:space="preserve"> different trends which cities might start implementing in t</w:t>
      </w:r>
      <w:r w:rsidR="001909EF" w:rsidRPr="002A63BA">
        <w:rPr>
          <w:rFonts w:ascii="Open Sans" w:hAnsi="Open Sans" w:cs="Open Sans"/>
          <w:noProof/>
        </w:rPr>
        <w:t xml:space="preserve">he future or are already active. Some of the most important and most </w:t>
      </w:r>
      <w:r w:rsidR="0046396B" w:rsidRPr="002A63BA">
        <w:rPr>
          <w:rFonts w:ascii="Open Sans" w:hAnsi="Open Sans" w:cs="Open Sans"/>
          <w:noProof/>
        </w:rPr>
        <w:t>commonly identified</w:t>
      </w:r>
      <w:r w:rsidR="001909EF" w:rsidRPr="002A63BA">
        <w:rPr>
          <w:rFonts w:ascii="Open Sans" w:hAnsi="Open Sans" w:cs="Open Sans"/>
          <w:noProof/>
        </w:rPr>
        <w:t xml:space="preserve"> trends</w:t>
      </w:r>
      <w:r w:rsidR="0046396B" w:rsidRPr="002A63BA">
        <w:rPr>
          <w:rFonts w:ascii="Open Sans" w:hAnsi="Open Sans" w:cs="Open Sans"/>
          <w:noProof/>
        </w:rPr>
        <w:t xml:space="preserve"> are briefly described below.</w:t>
      </w:r>
    </w:p>
    <w:p w14:paraId="07951DBE" w14:textId="77777777" w:rsidR="00361150" w:rsidRPr="002A63BA" w:rsidRDefault="00361150" w:rsidP="00FF3EE4">
      <w:pPr>
        <w:pStyle w:val="Naslov2"/>
        <w:spacing w:line="276" w:lineRule="auto"/>
        <w:rPr>
          <w:rFonts w:ascii="Open Sans" w:hAnsi="Open Sans" w:cs="Open Sans"/>
          <w:noProof/>
          <w:sz w:val="22"/>
          <w:szCs w:val="22"/>
        </w:rPr>
      </w:pPr>
      <w:bookmarkStart w:id="5" w:name="_y2lhx9cxeugz" w:colFirst="0" w:colLast="0"/>
      <w:bookmarkEnd w:id="5"/>
      <w:r w:rsidRPr="002A63BA">
        <w:rPr>
          <w:rFonts w:ascii="Open Sans" w:hAnsi="Open Sans" w:cs="Open Sans"/>
          <w:noProof/>
          <w:sz w:val="22"/>
          <w:szCs w:val="22"/>
        </w:rPr>
        <w:t>Green Planning of Cities</w:t>
      </w:r>
    </w:p>
    <w:p w14:paraId="7EA2B053"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Heavily populated areas are usually defined by construction and high population density. Green cities are now pushing green planning as an alternative. This will increase the amount of green public space, increase the quality of life of the residents and will help heal the environmental impact of the city. We can observe a good case if we look at Singapore where they have completely transformed their city by planting trees, resulting in cleaner air. Such spaces will also encourage outdoor activities amongst residents such as cycling, walking and other types of sports. We can also observe that such spaces increase the connection to nature and allow families to enjoy the outdoors and parks, instead of spending their time at home. This type of planning also promotes the decrease of car-centric streets, which many cities, especially in Europe are moving away from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&lt;EndNote&gt;&lt;Cite&gt;&lt;Author&gt;Neirotti&lt;/Author&gt;&lt;Year&gt;2014&lt;/Year&gt;&lt;RecNum&gt;247&lt;/RecNum&gt;&lt;DisplayText&gt;(Neirotti, De Marco, Cagliano, Mangano, &amp;amp; Scorrano, 2014)&lt;/DisplayText&gt;&lt;record&gt;&lt;rec-number&gt;247&lt;/rec-number&gt;&lt;foreign-keys&gt;&lt;key app="EN" db-id="9xtppttv1tfpsqedswup2p2w5tvf59x5dt5d" timestamp="1653827292"&gt;247&lt;/key&gt;&lt;/foreign-keys&gt;&lt;ref-type name="Journal Article"&gt;17&lt;/ref-type&gt;&lt;contributors&gt;&lt;authors&gt;&lt;author&gt;Neirotti, Paolo&lt;/author&gt;&lt;author&gt;De Marco, Alberto&lt;/author&gt;&lt;author&gt;Cagliano, Anna Corinna&lt;/author&gt;&lt;author&gt;Mangano, Giulio&lt;/author&gt;&lt;author&gt;Scorrano, Francesco&lt;/author&gt;&lt;/authors&gt;&lt;/contributors&gt;&lt;titles&gt;&lt;title&gt;Current trends in Smart City initiatives: Some stylised facts&lt;/title&gt;&lt;secondary-title&gt;Cities&lt;/secondary-title&gt;&lt;/titles&gt;&lt;periodical&gt;&lt;full-title&gt;Cities&lt;/full-title&gt;&lt;/periodical&gt;&lt;pages&gt;25-36&lt;/pages&gt;&lt;volume&gt;38&lt;/volume&gt;&lt;dates&gt;&lt;year&gt;2014&lt;/year&gt;&lt;/dates&gt;&lt;isbn&gt;0264-2751&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(Neirotti, De Marco, Cagliano, Mangano, &amp; Scorrano, 2014)</w:t>
      </w:r>
      <w:r w:rsidR="00A3320D" w:rsidRPr="002A63BA">
        <w:rPr>
          <w:rFonts w:ascii="Open Sans" w:hAnsi="Open Sans" w:cs="Open Sans"/>
          <w:noProof/>
        </w:rPr>
        <w:fldChar w:fldCharType="end"/>
      </w:r>
      <w:r w:rsidRPr="002A63BA">
        <w:rPr>
          <w:rFonts w:ascii="Open Sans" w:hAnsi="Open Sans" w:cs="Open Sans"/>
          <w:noProof/>
        </w:rPr>
        <w:t>.</w:t>
      </w:r>
    </w:p>
    <w:p w14:paraId="42536A18" w14:textId="77777777" w:rsidR="00361150" w:rsidRPr="002A63BA" w:rsidRDefault="00361150" w:rsidP="00FF3EE4">
      <w:pPr>
        <w:pStyle w:val="Naslov2"/>
        <w:spacing w:line="276" w:lineRule="auto"/>
        <w:rPr>
          <w:rFonts w:ascii="Open Sans" w:hAnsi="Open Sans" w:cs="Open Sans"/>
          <w:noProof/>
          <w:sz w:val="22"/>
          <w:szCs w:val="22"/>
        </w:rPr>
      </w:pPr>
      <w:bookmarkStart w:id="6" w:name="_wtnksbrbtvqa" w:colFirst="0" w:colLast="0"/>
      <w:bookmarkEnd w:id="6"/>
      <w:r w:rsidRPr="002A63BA">
        <w:rPr>
          <w:rFonts w:ascii="Open Sans" w:hAnsi="Open Sans" w:cs="Open Sans"/>
          <w:noProof/>
          <w:sz w:val="22"/>
          <w:szCs w:val="22"/>
        </w:rPr>
        <w:t>Smart Health Communities</w:t>
      </w:r>
    </w:p>
    <w:p w14:paraId="151A03FF"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Cities are currently developing new types of healthcare systems which not only focus on immediate care but also on prevention and post-care. It is </w:t>
      </w:r>
      <w:r w:rsidRPr="002A63BA">
        <w:rPr>
          <w:rFonts w:ascii="Open Sans" w:hAnsi="Open Sans" w:cs="Open Sans"/>
          <w:noProof/>
        </w:rPr>
        <w:lastRenderedPageBreak/>
        <w:t>essential that cities move toward prevention as this would greatly reduce the burden on medical facilities. Both mentally and physically prevention is key to managing the well-being of residents. Better care facilities ensure that patients get the best care and to complete the cycle cities must invest in post-care in order to transition residents back to their normal life as soon as possible and ensure their wellbeing in the long term. Cities are also teaming up with technology companies to develop health warning systems and management systems allowing for better tracking of patient files</w:t>
      </w:r>
      <w:r w:rsidR="00D74972" w:rsidRPr="002A63BA">
        <w:rPr>
          <w:rFonts w:ascii="Open Sans" w:hAnsi="Open Sans" w:cs="Open Sans"/>
          <w:noProof/>
        </w:rPr>
        <w:t xml:space="preserv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&lt;EndNote&gt;&lt;Cite&gt;&lt;Author&gt;De Marco&lt;/Author&gt;&lt;Year&gt;2021&lt;/Year&gt;&lt;RecNum&gt;249&lt;/RecNum&gt;&lt;DisplayText&gt;(De Marco &amp;amp; Mangano, 2021)&lt;/DisplayText&gt;&lt;record&gt;&lt;rec-number&gt;249&lt;/rec-number&gt;&lt;foreign-keys&gt;&lt;key app="EN" db-id="9xtppttv1tfpsqedswup2p2w5tvf59x5dt5d" timestamp="1653828155"&gt;249&lt;/key&gt;&lt;/foreign-keys&gt;&lt;ref-type name="Journal Article"&gt;17&lt;/ref-type&gt;&lt;contributors&gt;&lt;authors&gt;&lt;author&gt;De Marco, Alberto&lt;/author&gt;&lt;author&gt;Mangano, Giulio&lt;/author&gt;&lt;/authors&gt;&lt;/contributors&gt;&lt;titles&gt;&lt;title&gt;Evolutionary trends in smart city initiatives&lt;/title&gt;&lt;secondary-title&gt;Sustainable Futures&lt;/secondary-title&gt;&lt;/titles&gt;&lt;periodical&gt;&lt;full-title&gt;Sustainable Futures&lt;/full-title&gt;&lt;/periodical&gt;&lt;pages&gt;100052&lt;/pages&gt;&lt;volume&gt;3&lt;/volume&gt;&lt;dates&gt;&lt;year&gt;2021&lt;/year&gt;&lt;/dates&gt;&lt;isbn&gt;2666-1888&lt;/isbn&gt;&lt;urls&gt;&lt;/urls&gt;&lt;/record&gt;&lt;/Cite&gt;&lt;/EndNote&gt;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(De Marco &amp; Mangano, 2021)</w:t>
      </w:r>
      <w:r w:rsidR="00A3320D" w:rsidRPr="002A63BA">
        <w:rPr>
          <w:rFonts w:ascii="Open Sans" w:hAnsi="Open Sans" w:cs="Open Sans"/>
          <w:noProof/>
        </w:rPr>
        <w:fldChar w:fldCharType="end"/>
      </w:r>
      <w:r w:rsidRPr="002A63BA">
        <w:rPr>
          <w:rFonts w:ascii="Open Sans" w:hAnsi="Open Sans" w:cs="Open Sans"/>
          <w:noProof/>
        </w:rPr>
        <w:t>.</w:t>
      </w:r>
      <w:bookmarkStart w:id="7" w:name="_9fhlkc7b95i6" w:colFirst="0" w:colLast="0"/>
      <w:bookmarkEnd w:id="7"/>
    </w:p>
    <w:p w14:paraId="221808FB" w14:textId="77777777" w:rsidR="00361150" w:rsidRPr="002A63BA" w:rsidRDefault="00361150" w:rsidP="00FF3EE4">
      <w:pPr>
        <w:pStyle w:val="Naslov2"/>
        <w:spacing w:line="276" w:lineRule="auto"/>
        <w:rPr>
          <w:rFonts w:ascii="Open Sans" w:hAnsi="Open Sans" w:cs="Open Sans"/>
          <w:noProof/>
          <w:sz w:val="22"/>
          <w:szCs w:val="22"/>
        </w:rPr>
      </w:pPr>
      <w:bookmarkStart w:id="8" w:name="_vdkinnrjy1fy" w:colFirst="0" w:colLast="0"/>
      <w:bookmarkEnd w:id="8"/>
      <w:r w:rsidRPr="002A63BA">
        <w:rPr>
          <w:rFonts w:ascii="Open Sans" w:hAnsi="Open Sans" w:cs="Open Sans"/>
          <w:noProof/>
          <w:sz w:val="22"/>
          <w:szCs w:val="22"/>
        </w:rPr>
        <w:t>15-minute Concept</w:t>
      </w:r>
    </w:p>
    <w:p w14:paraId="0F1D59A2"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Many cities today are moving to a concept called the 15-minute city. With this design philosophy in mind, neighbourhoods are being designed so that amenities and different services are all within a 15-minute range and accessible either by foot, bike or integrated public transport. This concept is better suited for bigger more dense cities, particularly in Europe where many cities already implement this approach</w:t>
      </w:r>
      <w:r w:rsidR="001909EF" w:rsidRPr="002A63BA">
        <w:rPr>
          <w:rFonts w:ascii="Open Sans" w:hAnsi="Open Sans" w:cs="Open Sans"/>
          <w:noProof/>
        </w:rPr>
        <w:t xml:space="preserv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Barocca, &amp;amp; Guerreiro Oliveira,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Barocca, &amp; Guerreiro Oliveira, 2021)</w:t>
      </w:r>
      <w:r w:rsidR="00A3320D" w:rsidRPr="002A63BA">
        <w:rPr>
          <w:rFonts w:ascii="Open Sans" w:hAnsi="Open Sans" w:cs="Open Sans"/>
          <w:noProof/>
        </w:rPr>
        <w:fldChar w:fldCharType="end"/>
      </w:r>
      <w:r w:rsidRPr="002A63BA">
        <w:rPr>
          <w:rFonts w:ascii="Open Sans" w:hAnsi="Open Sans" w:cs="Open Sans"/>
          <w:noProof/>
        </w:rPr>
        <w:t>.</w:t>
      </w:r>
    </w:p>
    <w:p w14:paraId="74044429" w14:textId="77777777" w:rsidR="00361150" w:rsidRPr="002A63BA" w:rsidRDefault="00361150" w:rsidP="00FF3EE4">
      <w:pPr>
        <w:pStyle w:val="Naslov2"/>
        <w:spacing w:line="276" w:lineRule="auto"/>
        <w:rPr>
          <w:rFonts w:ascii="Open Sans" w:hAnsi="Open Sans" w:cs="Open Sans"/>
          <w:noProof/>
          <w:sz w:val="22"/>
          <w:szCs w:val="22"/>
        </w:rPr>
      </w:pPr>
      <w:bookmarkStart w:id="9" w:name="_os3ct6hkbv6y" w:colFirst="0" w:colLast="0"/>
      <w:bookmarkEnd w:id="9"/>
      <w:r w:rsidRPr="002A63BA">
        <w:rPr>
          <w:rFonts w:ascii="Open Sans" w:hAnsi="Open Sans" w:cs="Open Sans"/>
          <w:noProof/>
          <w:sz w:val="22"/>
          <w:szCs w:val="22"/>
        </w:rPr>
        <w:t>Clean Mobility</w:t>
      </w:r>
    </w:p>
    <w:p w14:paraId="62B7CE75" w14:textId="77777777" w:rsidR="006E3D9F" w:rsidRPr="002A63BA" w:rsidRDefault="006E3D9F" w:rsidP="00FF3EE4">
      <w:pPr>
        <w:spacing w:line="276" w:lineRule="auto"/>
        <w:rPr>
          <w:rFonts w:ascii="Open Sans" w:hAnsi="Open Sans" w:cs="Open Sans"/>
          <w:noProof/>
        </w:rPr>
      </w:pPr>
      <w:r w:rsidRPr="002A63BA">
        <w:rPr>
          <w:rFonts w:ascii="Open Sans" w:hAnsi="Open Sans" w:cs="Open Sans"/>
        </w:rPr>
        <w:t>One of the first changes that came in the early 2000 was the introduction of smart maps that gives the opportunity to monitor the condition of the roads in real-time, enabling the users to manage their own journey and avoid traffic. This change stimulates a more efficient and sustainable mobility system and decreases challenges that the previous condition of the roads: pollution, noise, congestion, and inef</w:t>
      </w:r>
      <w:r w:rsidR="00504B43" w:rsidRPr="002A63BA">
        <w:rPr>
          <w:rFonts w:ascii="Open Sans" w:hAnsi="Open Sans" w:cs="Open Sans"/>
        </w:rPr>
        <w:t xml:space="preserve">ficient mobility infrastructure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&lt;EndNote&gt;&lt;Cite&gt;&lt;Author&gt;Lyons&lt;/Author&gt;&lt;Year&gt;2018&lt;/Year&gt;&lt;RecNum&gt;297&lt;/RecNum&gt;&lt;DisplayText&gt;(Lyons, 2018)&lt;/DisplayText&gt;&lt;record&gt;&lt;rec-number&gt;297&lt;/rec-number&gt;&lt;foreign-keys&gt;&lt;key app="EN" db-id="9xtppttv1tfpsqedswup2p2w5tvf59x5dt5d" timestamp="1653947347"&gt;297&lt;/key&gt;&lt;/foreign-keys&gt;&lt;ref-type name="Journal Article"&gt;17&lt;/ref-type&gt;&lt;contributors&gt;&lt;authors&gt;&lt;author&gt;Lyons, Glenn&lt;/author&gt;&lt;/authors&gt;&lt;/contributors&gt;&lt;titles&gt;&lt;title&gt;Getting smart about urban mobility–aligning the paradigms of smart and sustainable&lt;/title&gt;&lt;secondary-title&gt;Transportation Research Part A: Policy and Practice&lt;/secondary-title&gt;&lt;/titles&gt;&lt;periodical&gt;&lt;full-title&gt;Transportation Research Part A: Policy and Practice&lt;/full-title&gt;&lt;/periodical&gt;&lt;pages&gt;4-14&lt;/pages&gt;&lt;volume&gt;115&lt;/volume&gt;&lt;dates&gt;&lt;year&gt;2018&lt;/year&gt;&lt;/dates&gt;&lt;isbn&gt;0965-8564&lt;/isbn&gt;&lt;urls&gt;&lt;/urls&gt;&lt;/record&gt;&lt;/Cite&gt;&lt;/EndNote&gt;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(Lyons, 2018)</w:t>
      </w:r>
      <w:r w:rsidR="00A3320D" w:rsidRPr="002A63BA">
        <w:rPr>
          <w:rFonts w:ascii="Open Sans" w:hAnsi="Open Sans" w:cs="Open Sans"/>
        </w:rPr>
        <w:fldChar w:fldCharType="end"/>
      </w:r>
      <w:r w:rsidR="00504B43" w:rsidRPr="002A63BA">
        <w:rPr>
          <w:rFonts w:ascii="Open Sans" w:hAnsi="Open Sans" w:cs="Open Sans"/>
        </w:rPr>
        <w:t>.</w:t>
      </w:r>
    </w:p>
    <w:p w14:paraId="5F1099E6" w14:textId="66E94A80" w:rsidR="006E3D9F"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Many cities today are working towards providing their citizens with clean, intelligent, and autonomous mobility through more walking and cycling spaces and where transport is provided as a service. Cities are striving to eliminate the need to travel. Within the concept of clean mobility, electrification plays a key role in this vehicle sharing. Combining these two </w:t>
      </w:r>
      <w:r w:rsidRPr="002A63BA">
        <w:rPr>
          <w:rFonts w:ascii="Open Sans" w:hAnsi="Open Sans" w:cs="Open Sans"/>
          <w:noProof/>
        </w:rPr>
        <w:lastRenderedPageBreak/>
        <w:t>cities eliminate congestion and pollution and can subsequently focus on intelligent mobility, where data plays a pivotal role</w:t>
      </w:r>
      <w:r w:rsidR="00D74972" w:rsidRPr="002A63BA">
        <w:rPr>
          <w:rFonts w:ascii="Open Sans" w:hAnsi="Open Sans" w:cs="Open Sans"/>
          <w:noProof/>
        </w:rPr>
        <w:t xml:space="preserv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&lt;EndNote&gt;&lt;Cite&gt;&lt;Author&gt;De Marco&lt;/Author&gt;&lt;Year&gt;2021&lt;/Year&gt;&lt;RecNum&gt;249&lt;/RecNum&gt;&lt;DisplayText&gt;(De Marco &amp;amp; Mangano, 2021)&lt;/DisplayText&gt;&lt;record&gt;&lt;rec-number&gt;249&lt;/rec-number&gt;&lt;foreign-keys&gt;&lt;key app="EN" db-id="9xtppttv1tfpsqedswup2p2w5tvf59x5dt5d" timestamp="1653828155"&gt;249&lt;/key&gt;&lt;/foreign-keys&gt;&lt;ref-type name="Journal Article"&gt;17&lt;/ref-type&gt;&lt;contributors&gt;&lt;authors&gt;&lt;author&gt;De Marco, Alberto&lt;/author&gt;&lt;author&gt;Mangano, Giulio&lt;/author&gt;&lt;/authors&gt;&lt;/contributors&gt;&lt;titles&gt;&lt;title&gt;Evolutionary trends in smart city initiatives&lt;/title&gt;&lt;secondary-title&gt;Sustainable Futures&lt;/secondary-title&gt;&lt;/titles&gt;&lt;periodical&gt;&lt;full-title&gt;Sustainable Futures&lt;/full-title&gt;&lt;/periodical&gt;&lt;pages&gt;100052&lt;/pages&gt;&lt;volume&gt;3&lt;/volume&gt;&lt;dates&gt;&lt;year&gt;2021&lt;/year&gt;&lt;/dates&gt;&lt;isbn&gt;2666-1888&lt;/isbn&gt;&lt;urls&gt;&lt;/urls&gt;&lt;/record&gt;&lt;/Cite&gt;&lt;/EndNote&gt;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(De Marco &amp; Mangano, 2021)</w:t>
      </w:r>
      <w:r w:rsidR="00A3320D" w:rsidRPr="002A63BA">
        <w:rPr>
          <w:rFonts w:ascii="Open Sans" w:hAnsi="Open Sans" w:cs="Open Sans"/>
          <w:noProof/>
        </w:rPr>
        <w:fldChar w:fldCharType="end"/>
      </w:r>
      <w:r w:rsidRPr="002A63BA">
        <w:rPr>
          <w:rFonts w:ascii="Open Sans" w:hAnsi="Open Sans" w:cs="Open Sans"/>
          <w:noProof/>
        </w:rPr>
        <w:t>.</w:t>
      </w:r>
    </w:p>
    <w:p w14:paraId="1AECEE30" w14:textId="77777777" w:rsidR="00361150" w:rsidRPr="002A63BA" w:rsidRDefault="00361150" w:rsidP="00FF3EE4">
      <w:pPr>
        <w:pStyle w:val="Naslov2"/>
        <w:spacing w:line="276" w:lineRule="auto"/>
        <w:rPr>
          <w:rFonts w:ascii="Open Sans" w:hAnsi="Open Sans" w:cs="Open Sans"/>
          <w:noProof/>
          <w:sz w:val="22"/>
          <w:szCs w:val="22"/>
        </w:rPr>
      </w:pPr>
      <w:bookmarkStart w:id="10" w:name="_dib2akotj44u" w:colFirst="0" w:colLast="0"/>
      <w:bookmarkEnd w:id="10"/>
      <w:r w:rsidRPr="002A63BA">
        <w:rPr>
          <w:rFonts w:ascii="Open Sans" w:hAnsi="Open Sans" w:cs="Open Sans"/>
          <w:noProof/>
          <w:sz w:val="22"/>
          <w:szCs w:val="22"/>
        </w:rPr>
        <w:t>Inclusive Services and Planning</w:t>
      </w:r>
    </w:p>
    <w:p w14:paraId="0E7A74EB"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Cities are increasingly providing inclusive services, battling inequality by providing support for the most vulnerable members of society. Cities must ensure equal opportunities and equal participation in society in order not to exclude pieces of the populace and allow them the opportunity of a</w:t>
      </w:r>
      <w:r w:rsidR="00D74972" w:rsidRPr="002A63BA">
        <w:rPr>
          <w:rFonts w:ascii="Open Sans" w:hAnsi="Open Sans" w:cs="Open Sans"/>
          <w:noProof/>
        </w:rPr>
        <w:t xml:space="preserve"> job and become interconnected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&lt;EndNote&gt;&lt;Cite&gt;&lt;Author&gt;De Marco&lt;/Author&gt;&lt;Year&gt;2021&lt;/Year&gt;&lt;RecNum&gt;249&lt;/RecNum&gt;&lt;DisplayText&gt;(De Marco &amp;amp; Mangano, 2021)&lt;/DisplayText&gt;&lt;record&gt;&lt;rec-number&gt;249&lt;/rec-number&gt;&lt;foreign-keys&gt;&lt;key app="EN" db-id="9xtppttv1tfpsqedswup2p2w5tvf59x5dt5d" timestamp="1653828155"&gt;249&lt;/key&gt;&lt;/foreign-keys&gt;&lt;ref-type name="Journal Article"&gt;17&lt;/ref-type&gt;&lt;contributors&gt;&lt;authors&gt;&lt;author&gt;De Marco, Alberto&lt;/author&gt;&lt;author&gt;Mangano, Giulio&lt;/author&gt;&lt;/authors&gt;&lt;/contributors&gt;&lt;titles&gt;&lt;title&gt;Evolutionary trends in smart city initiatives&lt;/title&gt;&lt;secondary-title&gt;Sustainable Futures&lt;/secondary-title&gt;&lt;/titles&gt;&lt;periodical&gt;&lt;full-title&gt;Sustainable Futures&lt;/full-title&gt;&lt;/periodical&gt;&lt;pages&gt;100052&lt;/pages&gt;&lt;volume&gt;3&lt;/volume&gt;&lt;dates&gt;&lt;year&gt;2021&lt;/year&gt;&lt;/dates&gt;&lt;isbn&gt;2666-1888&lt;/isbn&gt;&lt;urls&gt;&lt;/urls&gt;&lt;/record&gt;&lt;/Cite&gt;&lt;/EndNote&gt;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(De Marco &amp; Mangano, 2021)</w:t>
      </w:r>
      <w:r w:rsidR="00A3320D" w:rsidRPr="002A63BA">
        <w:rPr>
          <w:rFonts w:ascii="Open Sans" w:hAnsi="Open Sans" w:cs="Open Sans"/>
          <w:noProof/>
        </w:rPr>
        <w:fldChar w:fldCharType="end"/>
      </w:r>
      <w:r w:rsidRPr="002A63BA">
        <w:rPr>
          <w:rFonts w:ascii="Open Sans" w:hAnsi="Open Sans" w:cs="Open Sans"/>
          <w:noProof/>
        </w:rPr>
        <w:t>.</w:t>
      </w:r>
    </w:p>
    <w:p w14:paraId="0AE407CF" w14:textId="77777777" w:rsidR="00AC602A" w:rsidRPr="002A63BA" w:rsidRDefault="00AC602A" w:rsidP="00FF3EE4">
      <w:pPr>
        <w:spacing w:line="276" w:lineRule="auto"/>
        <w:rPr>
          <w:rFonts w:ascii="Open Sans" w:hAnsi="Open Sans" w:cs="Open Sans"/>
        </w:rPr>
      </w:pPr>
      <w:r w:rsidRPr="002A63BA">
        <w:rPr>
          <w:rFonts w:ascii="Open Sans" w:hAnsi="Open Sans" w:cs="Open Sans"/>
          <w:lang w:val="en-US"/>
        </w:rPr>
        <w:t xml:space="preserve">As companies are becoming customer-oriented, they start to prefer services that are easier for the customers to use. The “as-a-service” concept is not new, but the terms Mobility-as-a-Service (MaaS) and Energy Efficiency-as-a-Service (EEaaS) are coined recently and offer lots of potential in the transport of people and goods, and cost-efficiency in emissions reduction </w:t>
      </w:r>
      <w:r w:rsidR="00A3320D" w:rsidRPr="002A63BA">
        <w:rPr>
          <w:rFonts w:ascii="Open Sans" w:hAnsi="Open Sans" w:cs="Open Sans"/>
          <w:lang w:val="en-US"/>
        </w:rPr>
        <w:fldChar w:fldCharType="begin">
          <w:fldData xml:space="preserve">PEVuZE5vdGU+PENpdGU+PEF1dGhvcj5Dcm93ZTwvQXV0aG9yPjxZZWFyPjIwMjI8L1llYXI+PFJl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</w:fldData>
        </w:fldChar>
      </w:r>
      <w:r w:rsidR="00A3320D" w:rsidRPr="002A63BA">
        <w:rPr>
          <w:rFonts w:ascii="Open Sans" w:hAnsi="Open Sans" w:cs="Open Sans"/>
          <w:lang w:val="en-US"/>
        </w:rPr>
        <w:instrText xml:space="preserve"> ADDIN EN.CITE </w:instrText>
      </w:r>
      <w:r w:rsidR="00A3320D" w:rsidRPr="002A63BA">
        <w:rPr>
          <w:rFonts w:ascii="Open Sans" w:hAnsi="Open Sans" w:cs="Open Sans"/>
          <w:lang w:val="en-US"/>
        </w:rPr>
        <w:fldChar w:fldCharType="begin">
          <w:fldData xml:space="preserve">PEVuZE5vdGU+PENpdGU+PEF1dGhvcj5Dcm93ZTwvQXV0aG9yPjxZZWFyPjIwMjI8L1llYXI+PFJl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</w:fldData>
        </w:fldChar>
      </w:r>
      <w:r w:rsidR="00A3320D" w:rsidRPr="002A63BA">
        <w:rPr>
          <w:rFonts w:ascii="Open Sans" w:hAnsi="Open Sans" w:cs="Open Sans"/>
          <w:lang w:val="en-US"/>
        </w:rPr>
        <w:instrText xml:space="preserve"> ADDIN EN.CITE.DATA </w:instrText>
      </w:r>
      <w:r w:rsidR="00A3320D" w:rsidRPr="002A63BA">
        <w:rPr>
          <w:rFonts w:ascii="Open Sans" w:hAnsi="Open Sans" w:cs="Open Sans"/>
          <w:lang w:val="en-US"/>
        </w:rPr>
      </w:r>
      <w:r w:rsidR="00A3320D" w:rsidRPr="002A63BA">
        <w:rPr>
          <w:rFonts w:ascii="Open Sans" w:hAnsi="Open Sans" w:cs="Open Sans"/>
          <w:lang w:val="en-US"/>
        </w:rPr>
        <w:fldChar w:fldCharType="end"/>
      </w:r>
      <w:r w:rsidR="00A3320D" w:rsidRPr="002A63BA">
        <w:rPr>
          <w:rFonts w:ascii="Open Sans" w:hAnsi="Open Sans" w:cs="Open Sans"/>
          <w:lang w:val="en-US"/>
        </w:rPr>
      </w:r>
      <w:r w:rsidR="00A3320D" w:rsidRPr="002A63BA">
        <w:rPr>
          <w:rFonts w:ascii="Open Sans" w:hAnsi="Open Sans" w:cs="Open Sans"/>
          <w:lang w:val="en-US"/>
        </w:rPr>
        <w:fldChar w:fldCharType="separate"/>
      </w:r>
      <w:r w:rsidR="00A3320D" w:rsidRPr="002A63BA">
        <w:rPr>
          <w:rFonts w:ascii="Open Sans" w:hAnsi="Open Sans" w:cs="Open Sans"/>
          <w:noProof/>
          <w:lang w:val="en-US"/>
        </w:rPr>
        <w:t>(Crowe, 2022)</w:t>
      </w:r>
      <w:r w:rsidR="00A3320D" w:rsidRPr="002A63BA">
        <w:rPr>
          <w:rFonts w:ascii="Open Sans" w:hAnsi="Open Sans" w:cs="Open Sans"/>
          <w:lang w:val="en-US"/>
        </w:rPr>
        <w:fldChar w:fldCharType="end"/>
      </w:r>
      <w:r w:rsidRPr="002A63BA">
        <w:rPr>
          <w:rFonts w:ascii="Open Sans" w:hAnsi="Open Sans" w:cs="Open Sans"/>
          <w:lang w:val="en-US"/>
        </w:rPr>
        <w:t>.</w:t>
      </w:r>
    </w:p>
    <w:p w14:paraId="690C38A9" w14:textId="77777777" w:rsidR="00361150" w:rsidRPr="002A63BA" w:rsidRDefault="00361150" w:rsidP="00FF3EE4">
      <w:pPr>
        <w:pStyle w:val="Naslov2"/>
        <w:spacing w:line="276" w:lineRule="auto"/>
        <w:rPr>
          <w:rFonts w:ascii="Open Sans" w:hAnsi="Open Sans" w:cs="Open Sans"/>
          <w:noProof/>
          <w:sz w:val="22"/>
          <w:szCs w:val="22"/>
        </w:rPr>
      </w:pPr>
      <w:bookmarkStart w:id="11" w:name="_v3upusbeyy6d" w:colFirst="0" w:colLast="0"/>
      <w:bookmarkEnd w:id="11"/>
      <w:r w:rsidRPr="002A63BA">
        <w:rPr>
          <w:rFonts w:ascii="Open Sans" w:hAnsi="Open Sans" w:cs="Open Sans"/>
          <w:noProof/>
          <w:sz w:val="22"/>
          <w:szCs w:val="22"/>
        </w:rPr>
        <w:t>Digital Innovation System</w:t>
      </w:r>
    </w:p>
    <w:p w14:paraId="14E68889"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Systems like these allow cities to attract new talent, which will enable greater productivity, and creativity and will strive toward new innovations. By fostering an open culture and creating an ecosystem of universities, companies, government and the public cities will enable connections between the innovators and allow them to tackle the city's most profound problems</w:t>
      </w:r>
      <w:r w:rsidR="001909EF" w:rsidRPr="002A63BA">
        <w:rPr>
          <w:rFonts w:ascii="Open Sans" w:hAnsi="Open Sans" w:cs="Open Sans"/>
          <w:noProof/>
        </w:rPr>
        <w:t xml:space="preserv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et al.,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et al., 2021)</w:t>
      </w:r>
      <w:r w:rsidR="00A3320D" w:rsidRPr="002A63BA">
        <w:rPr>
          <w:rFonts w:ascii="Open Sans" w:hAnsi="Open Sans" w:cs="Open Sans"/>
          <w:noProof/>
        </w:rPr>
        <w:fldChar w:fldCharType="end"/>
      </w:r>
      <w:r w:rsidRPr="002A63BA">
        <w:rPr>
          <w:rFonts w:ascii="Open Sans" w:hAnsi="Open Sans" w:cs="Open Sans"/>
          <w:noProof/>
        </w:rPr>
        <w:t>.</w:t>
      </w:r>
    </w:p>
    <w:p w14:paraId="6B109AC7" w14:textId="77777777" w:rsidR="00361150" w:rsidRPr="002A63BA" w:rsidRDefault="008D015D" w:rsidP="00FF3EE4">
      <w:pPr>
        <w:pStyle w:val="Naslov2"/>
        <w:spacing w:line="276" w:lineRule="auto"/>
        <w:rPr>
          <w:rFonts w:ascii="Open Sans" w:hAnsi="Open Sans" w:cs="Open Sans"/>
          <w:noProof/>
          <w:sz w:val="22"/>
          <w:szCs w:val="22"/>
        </w:rPr>
      </w:pPr>
      <w:bookmarkStart w:id="12" w:name="_uzm1v4nulak8" w:colFirst="0" w:colLast="0"/>
      <w:bookmarkEnd w:id="12"/>
      <w:r w:rsidRPr="002A63BA">
        <w:rPr>
          <w:rFonts w:ascii="Open Sans" w:hAnsi="Open Sans" w:cs="Open Sans"/>
          <w:noProof/>
          <w:sz w:val="22"/>
          <w:szCs w:val="22"/>
        </w:rPr>
        <w:t>Circular economy</w:t>
      </w:r>
    </w:p>
    <w:p w14:paraId="770EA82B"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More and more cities are adopting new policies which foster the culture of a circular economy allowing for the fair trade of resources, focusing on sharing and reusing resources. Such an economy also limits waste and focuses on local production facilities </w:t>
      </w:r>
      <w:r w:rsidR="001909EF" w:rsidRPr="002A63BA">
        <w:rPr>
          <w:rFonts w:ascii="Open Sans" w:hAnsi="Open Sans" w:cs="Open Sans"/>
          <w:noProof/>
        </w:rPr>
        <w:t xml:space="preserve">such as farming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et al.,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et al., 2021)</w:t>
      </w:r>
      <w:r w:rsidR="00A3320D" w:rsidRPr="002A63BA">
        <w:rPr>
          <w:rFonts w:ascii="Open Sans" w:hAnsi="Open Sans" w:cs="Open Sans"/>
          <w:noProof/>
        </w:rPr>
        <w:fldChar w:fldCharType="end"/>
      </w:r>
      <w:r w:rsidRPr="002A63BA">
        <w:rPr>
          <w:rFonts w:ascii="Open Sans" w:hAnsi="Open Sans" w:cs="Open Sans"/>
          <w:noProof/>
        </w:rPr>
        <w:t>.</w:t>
      </w:r>
    </w:p>
    <w:p w14:paraId="08567EC6" w14:textId="77777777" w:rsidR="00361150" w:rsidRPr="002A63BA" w:rsidRDefault="00361150" w:rsidP="00FF3EE4">
      <w:pPr>
        <w:pStyle w:val="Naslov2"/>
        <w:spacing w:line="276" w:lineRule="auto"/>
        <w:rPr>
          <w:rFonts w:ascii="Open Sans" w:hAnsi="Open Sans" w:cs="Open Sans"/>
          <w:noProof/>
          <w:sz w:val="22"/>
          <w:szCs w:val="22"/>
        </w:rPr>
      </w:pPr>
      <w:bookmarkStart w:id="13" w:name="_kvugdxxzoxez" w:colFirst="0" w:colLast="0"/>
      <w:bookmarkEnd w:id="13"/>
      <w:r w:rsidRPr="002A63BA">
        <w:rPr>
          <w:rFonts w:ascii="Open Sans" w:hAnsi="Open Sans" w:cs="Open Sans"/>
          <w:noProof/>
          <w:sz w:val="22"/>
          <w:szCs w:val="22"/>
        </w:rPr>
        <w:lastRenderedPageBreak/>
        <w:t>Smart and Sustainable Infrastructure and Buildings</w:t>
      </w:r>
    </w:p>
    <w:p w14:paraId="794A1CDC" w14:textId="77777777" w:rsidR="00504B43" w:rsidRPr="002A63BA" w:rsidRDefault="00504B43" w:rsidP="00FF3EE4">
      <w:pPr>
        <w:spacing w:line="276" w:lineRule="auto"/>
        <w:rPr>
          <w:rFonts w:ascii="Open Sans" w:hAnsi="Open Sans" w:cs="Open Sans"/>
          <w:lang w:val="en-US"/>
        </w:rPr>
      </w:pPr>
      <w:r w:rsidRPr="002A63BA">
        <w:rPr>
          <w:rFonts w:ascii="Open Sans" w:hAnsi="Open Sans" w:cs="Open Sans"/>
        </w:rPr>
        <w:t xml:space="preserve">In order to improve the use of energy, many cities have introduced the concept of the smart grid, which is an eco-friendly system and reduces the use of electrical resources. The system is based on two-way digital communication, where data about consumption is collected, monitored, and analysed in order to improve the use of energy, which results in higher transparency, efficiency, and lower costs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&lt;EndNote&gt;&lt;Cite&gt;&lt;Author&gt;Tuballa&lt;/Author&gt;&lt;Year&gt;2016&lt;/Year&gt;&lt;RecNum&gt;298&lt;/RecNum&gt;&lt;DisplayText&gt;(Tuballa &amp;amp; Abundo, 2016)&lt;/DisplayText&gt;&lt;record&gt;&lt;rec-number&gt;298&lt;/rec-number&gt;&lt;foreign-keys&gt;&lt;key app="EN" db-id="9xtppttv1tfpsqedswup2p2w5tvf59x5dt5d" timestamp="1653947437"&gt;298&lt;/key&gt;&lt;/foreign-keys&gt;&lt;ref-type name="Journal Article"&gt;17&lt;/ref-type&gt;&lt;contributors&gt;&lt;authors&gt;&lt;author&gt;Tuballa, Maria Lorena&lt;/author&gt;&lt;author&gt;Abundo, Michael Lochinvar&lt;/author&gt;&lt;/authors&gt;&lt;/contributors&gt;&lt;titles&gt;&lt;title&gt;A review of the development of Smart Grid technologies&lt;/title&gt;&lt;secondary-title&gt;Renewable and Sustainable Energy Reviews&lt;/secondary-title&gt;&lt;/titles&gt;&lt;periodical&gt;&lt;full-title&gt;Renewable and Sustainable Energy Reviews&lt;/full-title&gt;&lt;/periodical&gt;&lt;pages&gt;710-725&lt;/pages&gt;&lt;volume&gt;59&lt;/volume&gt;&lt;dates&gt;&lt;year&gt;2016&lt;/year&gt;&lt;/dates&gt;&lt;isbn&gt;1364-0321&lt;/isbn&gt;&lt;urls&gt;&lt;/urls&gt;&lt;/record&gt;&lt;/Cite&gt;&lt;/EndNote&gt;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(Tuballa &amp; Abundo, 2016)</w:t>
      </w:r>
      <w:r w:rsidR="00A3320D" w:rsidRPr="002A63BA">
        <w:rPr>
          <w:rFonts w:ascii="Open Sans" w:hAnsi="Open Sans" w:cs="Open Sans"/>
        </w:rPr>
        <w:fldChar w:fldCharType="end"/>
      </w:r>
      <w:r w:rsidRPr="002A63BA">
        <w:rPr>
          <w:rFonts w:ascii="Open Sans" w:hAnsi="Open Sans" w:cs="Open Sans"/>
        </w:rPr>
        <w:t>.</w:t>
      </w:r>
    </w:p>
    <w:p w14:paraId="2B422733"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Cities are setting themselves goals of building sustainable structures, limiting the loss of energy and the usage of drinkable water which is becoming more and more scarce. Waste is also a big consideration, and building proper infrastructure for disposal and recycling is key to achieving a net positive in terms of sustainability. The Net Zero Carbon Buildings Commitment was signed by 28 signatory cities and is aimed to reduce carbon emissions caused in the building sector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et al.,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et al., 2021)</w:t>
      </w:r>
      <w:r w:rsidR="00A3320D" w:rsidRPr="002A63BA">
        <w:rPr>
          <w:rFonts w:ascii="Open Sans" w:hAnsi="Open Sans" w:cs="Open Sans"/>
          <w:noProof/>
        </w:rPr>
        <w:fldChar w:fldCharType="end"/>
      </w:r>
      <w:r w:rsidRPr="002A63BA">
        <w:rPr>
          <w:rFonts w:ascii="Open Sans" w:hAnsi="Open Sans" w:cs="Open Sans"/>
          <w:noProof/>
        </w:rPr>
        <w:t>.</w:t>
      </w:r>
    </w:p>
    <w:p w14:paraId="23E68BFF" w14:textId="77777777" w:rsidR="00AC602A" w:rsidRPr="002A63BA" w:rsidRDefault="00AC602A" w:rsidP="00FF3EE4">
      <w:pPr>
        <w:spacing w:line="276" w:lineRule="auto"/>
        <w:rPr>
          <w:rFonts w:ascii="Open Sans" w:hAnsi="Open Sans" w:cs="Open Sans"/>
        </w:rPr>
      </w:pPr>
      <w:r w:rsidRPr="002A63BA">
        <w:rPr>
          <w:rFonts w:ascii="Open Sans" w:hAnsi="Open Sans" w:cs="Open Sans"/>
          <w:lang w:val="en-US"/>
        </w:rPr>
        <w:t>Utilizing the power of wind and other natural resources are already familiar ways of investing in clean energy to which most of the developed countries are dedicated to. However, cities are starting to use technology in an even more efficient manner, like to monitor energy use in real-time and to optimize energy consumption. The focus here is to use sustainable and ethical materials, companies are committed to being socially responsible and environmentally friendly. Moreover, cities are using the resources in most efficient way, mostly relying on renewable resources for</w:t>
      </w:r>
      <w:r w:rsidRPr="002A63BA">
        <w:rPr>
          <w:rFonts w:ascii="Open Sans" w:eastAsia="PMingLiU" w:hAnsi="Open Sans" w:cs="Open Sans"/>
          <w:noProof/>
          <w:lang w:val="hr-HR" w:eastAsia="hr-HR"/>
        </w:rPr>
        <mc:AlternateContent>
          <mc:Choice Requires="wps">
            <w:drawing>
              <wp:anchor distT="0" distB="0" distL="0" distR="0" simplePos="0" relativeHeight="251658240" behindDoc="1" locked="0" layoutInCell="1" allowOverlap="1" wp14:anchorId="50D01452" wp14:editId="59A873D7">
                <wp:simplePos x="0" y="0"/>
                <wp:positionH relativeFrom="page">
                  <wp:posOffset>6722110</wp:posOffset>
                </wp:positionH>
                <wp:positionV relativeFrom="page">
                  <wp:posOffset>9283065</wp:posOffset>
                </wp:positionV>
                <wp:extent cx="195580" cy="160655"/>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5502F" w14:textId="77777777" w:rsidR="007C3C4B" w:rsidRDefault="007C3C4B" w:rsidP="00AC602A">
                            <w:pPr>
                              <w:spacing w:before="2" w:line="239" w:lineRule="exact"/>
                              <w:textAlignment w:val="baseline"/>
                              <w:rPr>
                                <w:rFonts w:ascii="Arial" w:eastAsia="Arial" w:hAnsi="Arial"/>
                                <w:color w:val="000000"/>
                              </w:rPr>
                            </w:pPr>
                            <w:r>
                              <w:rPr>
                                <w:rFonts w:ascii="Arial" w:eastAsia="Arial" w:hAnsi="Arial"/>
                                <w:color w:val="000000"/>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D01452" id="_x0000_t202" coordsize="21600,21600" o:spt="202" path="m,l,21600r21600,l21600,xe">
                <v:stroke joinstyle="miter"/>
                <v:path gradientshapeok="t" o:connecttype="rect"/>
              </v:shapetype>
              <v:shape id="Text Box 2" o:spid="_x0000_s1026" type="#_x0000_t202" style="position:absolute;left:0;text-align:left;margin-left:529.3pt;margin-top:730.95pt;width:15.4pt;height:12.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" filled="f" stroked="f">
                <v:textbox inset="0,0,0,0">
                  <w:txbxContent>
                    <w:p w14:paraId="7515502F" w14:textId="77777777" w:rsidR="007C3C4B" w:rsidRDefault="007C3C4B" w:rsidP="00AC602A">
                      <w:pPr>
                        <w:spacing w:before="2" w:line="239" w:lineRule="exact"/>
                        <w:textAlignment w:val="baseline"/>
                        <w:rPr>
                          <w:rFonts w:ascii="Arial" w:eastAsia="Arial" w:hAnsi="Arial"/>
                          <w:color w:val="000000"/>
                        </w:rPr>
                      </w:pPr>
                      <w:r>
                        <w:rPr>
                          <w:rFonts w:ascii="Arial" w:eastAsia="Arial" w:hAnsi="Arial"/>
                          <w:color w:val="000000"/>
                          <w:lang w:val="en-US"/>
                        </w:rPr>
                        <w:t>3</w:t>
                      </w:r>
                    </w:p>
                  </w:txbxContent>
                </v:textbox>
                <w10:wrap type="square" anchorx="page" anchory="page"/>
              </v:shape>
            </w:pict>
          </mc:Fallback>
        </mc:AlternateContent>
      </w:r>
      <w:r w:rsidRPr="002A63BA">
        <w:rPr>
          <w:rFonts w:ascii="Open Sans" w:hAnsi="Open Sans" w:cs="Open Sans"/>
        </w:rPr>
        <w:t xml:space="preserve"> </w:t>
      </w:r>
      <w:r w:rsidRPr="002A63BA">
        <w:rPr>
          <w:rFonts w:ascii="Open Sans" w:hAnsi="Open Sans" w:cs="Open Sans"/>
          <w:lang w:val="en-US"/>
        </w:rPr>
        <w:t>energy.</w:t>
      </w:r>
    </w:p>
    <w:p w14:paraId="5E957F84" w14:textId="77777777" w:rsidR="00361150" w:rsidRPr="002A63BA" w:rsidRDefault="00361150" w:rsidP="00FF3EE4">
      <w:pPr>
        <w:pStyle w:val="Naslov2"/>
        <w:spacing w:line="276" w:lineRule="auto"/>
        <w:rPr>
          <w:rFonts w:ascii="Open Sans" w:hAnsi="Open Sans" w:cs="Open Sans"/>
          <w:noProof/>
          <w:sz w:val="22"/>
          <w:szCs w:val="22"/>
        </w:rPr>
      </w:pPr>
      <w:bookmarkStart w:id="14" w:name="_xli20iqq00iv" w:colFirst="0" w:colLast="0"/>
      <w:bookmarkEnd w:id="14"/>
      <w:r w:rsidRPr="002A63BA">
        <w:rPr>
          <w:rFonts w:ascii="Open Sans" w:hAnsi="Open Sans" w:cs="Open Sans"/>
          <w:noProof/>
          <w:sz w:val="22"/>
          <w:szCs w:val="22"/>
        </w:rPr>
        <w:t>Public Participation in City Building</w:t>
      </w:r>
    </w:p>
    <w:p w14:paraId="2849C88A"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Cities are pushing to include their residents in more and more city decisions, giving them a sense of belonging and increasing the feeling of co-ownership. Through technology and open data, cities can ask residents to provide more information on what bothers them in the city and what might be changed. This gives cities a rough idea of the direction the residents want the city to move. A good example of this is the city of </w:t>
      </w:r>
      <w:r w:rsidRPr="002A63BA">
        <w:rPr>
          <w:rFonts w:ascii="Open Sans" w:hAnsi="Open Sans" w:cs="Open Sans"/>
          <w:noProof/>
        </w:rPr>
        <w:lastRenderedPageBreak/>
        <w:t>Leuven in Belgium where the authorities have already implemented a framework to collect citizen id</w:t>
      </w:r>
      <w:r w:rsidR="001909EF" w:rsidRPr="002A63BA">
        <w:rPr>
          <w:rFonts w:ascii="Open Sans" w:hAnsi="Open Sans" w:cs="Open Sans"/>
          <w:noProof/>
        </w:rPr>
        <w:t xml:space="preserve">eas on how to improve the city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et al.,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et al., 2021)</w:t>
      </w:r>
      <w:r w:rsidR="00A3320D" w:rsidRPr="002A63BA">
        <w:rPr>
          <w:rFonts w:ascii="Open Sans" w:hAnsi="Open Sans" w:cs="Open Sans"/>
          <w:noProof/>
        </w:rPr>
        <w:fldChar w:fldCharType="end"/>
      </w:r>
      <w:r w:rsidRPr="002A63BA">
        <w:rPr>
          <w:rFonts w:ascii="Open Sans" w:hAnsi="Open Sans" w:cs="Open Sans"/>
          <w:noProof/>
        </w:rPr>
        <w:t>.</w:t>
      </w:r>
    </w:p>
    <w:p w14:paraId="319F2AF4" w14:textId="77777777" w:rsidR="00361150" w:rsidRPr="002A63BA" w:rsidRDefault="00361150" w:rsidP="00FF3EE4">
      <w:pPr>
        <w:pStyle w:val="Naslov2"/>
        <w:spacing w:line="276" w:lineRule="auto"/>
        <w:rPr>
          <w:rFonts w:ascii="Open Sans" w:hAnsi="Open Sans" w:cs="Open Sans"/>
          <w:noProof/>
          <w:sz w:val="22"/>
          <w:szCs w:val="22"/>
        </w:rPr>
      </w:pPr>
      <w:bookmarkStart w:id="15" w:name="_5s17yo4cox3w" w:colFirst="0" w:colLast="0"/>
      <w:bookmarkEnd w:id="15"/>
      <w:r w:rsidRPr="002A63BA">
        <w:rPr>
          <w:rFonts w:ascii="Open Sans" w:hAnsi="Open Sans" w:cs="Open Sans"/>
          <w:noProof/>
          <w:sz w:val="22"/>
          <w:szCs w:val="22"/>
        </w:rPr>
        <w:t>AI Operations</w:t>
      </w:r>
    </w:p>
    <w:p w14:paraId="423F9DCB"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Automated technology is truly the driver for the future. Cities have begun to recognize this trend and are moving to implement such technologies in many of their systems. Services such as transport, public safety and infrastructure are being upgraded with the help of automation. Cities are implementing central systems which control many aspects of the city removing the need for planning by human controllers but the system is instead controlled by AI technologies. A good example of a city which is trying to implement such a system is Cascais in Portugal where they have developed a managed command centre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&lt;EndNote&gt;&lt;Cite&gt;&lt;Author&gt;Neirotti&lt;/Author&gt;&lt;Year&gt;2014&lt;/Year&gt;&lt;RecNum&gt;247&lt;/RecNum&gt;&lt;DisplayText&gt;(Neirotti, et al., 2014)&lt;/DisplayText&gt;&lt;record&gt;&lt;rec-number&gt;247&lt;/rec-number&gt;&lt;foreign-keys&gt;&lt;key app="EN" db-id="9xtppttv1tfpsqedswup2p2w5tvf59x5dt5d" timestamp="1653827292"&gt;247&lt;/key&gt;&lt;/foreign-keys&gt;&lt;ref-type name="Journal Article"&gt;17&lt;/ref-type&gt;&lt;contributors&gt;&lt;authors&gt;&lt;author&gt;Neirotti, Paolo&lt;/author&gt;&lt;author&gt;De Marco, Alberto&lt;/author&gt;&lt;author&gt;Cagliano, Anna Corinna&lt;/author&gt;&lt;author&gt;Mangano, Giulio&lt;/author&gt;&lt;author&gt;Scorrano, Francesco&lt;/author&gt;&lt;/authors&gt;&lt;/contributors&gt;&lt;titles&gt;&lt;title&gt;Current trends in Smart City initiatives: Some stylised facts&lt;/title&gt;&lt;secondary-title&gt;Cities&lt;/secondary-title&gt;&lt;/titles&gt;&lt;periodical&gt;&lt;full-title&gt;Cities&lt;/full-title&gt;&lt;/periodical&gt;&lt;pages&gt;25-36&lt;/pages&gt;&lt;volume&gt;38&lt;/volume&gt;&lt;dates&gt;&lt;year&gt;2014&lt;/year&gt;&lt;/dates&gt;&lt;isbn&gt;0264-2751&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(Neirotti, et al., 2014)</w:t>
      </w:r>
      <w:r w:rsidR="00A3320D" w:rsidRPr="002A63BA">
        <w:rPr>
          <w:rFonts w:ascii="Open Sans" w:hAnsi="Open Sans" w:cs="Open Sans"/>
          <w:noProof/>
        </w:rPr>
        <w:fldChar w:fldCharType="end"/>
      </w:r>
      <w:r w:rsidRPr="002A63BA">
        <w:rPr>
          <w:rFonts w:ascii="Open Sans" w:hAnsi="Open Sans" w:cs="Open Sans"/>
          <w:noProof/>
        </w:rPr>
        <w:t>.</w:t>
      </w:r>
    </w:p>
    <w:p w14:paraId="1D9555B5" w14:textId="77777777" w:rsidR="00361150" w:rsidRPr="002A63BA" w:rsidRDefault="00361150" w:rsidP="00FF3EE4">
      <w:pPr>
        <w:pStyle w:val="Naslov2"/>
        <w:spacing w:line="276" w:lineRule="auto"/>
        <w:rPr>
          <w:rFonts w:ascii="Open Sans" w:hAnsi="Open Sans" w:cs="Open Sans"/>
          <w:noProof/>
          <w:sz w:val="22"/>
          <w:szCs w:val="22"/>
        </w:rPr>
      </w:pPr>
      <w:bookmarkStart w:id="16" w:name="_gsuxinxlfymv" w:colFirst="0" w:colLast="0"/>
      <w:bookmarkEnd w:id="16"/>
      <w:r w:rsidRPr="002A63BA">
        <w:rPr>
          <w:rFonts w:ascii="Open Sans" w:hAnsi="Open Sans" w:cs="Open Sans"/>
          <w:noProof/>
          <w:sz w:val="22"/>
          <w:szCs w:val="22"/>
        </w:rPr>
        <w:t>Cybersecurity and Privacy</w:t>
      </w:r>
    </w:p>
    <w:p w14:paraId="0505B5E2" w14:textId="77777777"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At this time, cybersecurity is becoming more and more important. Cities manage enormous amounts of data which must be kept safe. It is essential that preventative measures be developed which protect these data vaults. Thus cities are investing more and more into security. As cities digitalize more and more systems become digital, meaning a cyberattack could also disrupt infrastructure and basic utilities. Citizens of such cities are being taught the value of data privacy and cities must think carefully when managing sensitive data. A good example of a city following this trend is Tel Aviv where due to an increasing number of cyberattacks they have started to develop more and more advanced countermeasures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&lt;EndNote&gt;&lt;Cite&gt;&lt;Author&gt;Neirotti&lt;/Author&gt;&lt;Year&gt;2014&lt;/Year&gt;&lt;RecNum&gt;247&lt;/RecNum&gt;&lt;DisplayText&gt;(Neirotti, et al., 2014)&lt;/DisplayText&gt;&lt;record&gt;&lt;rec-number&gt;247&lt;/rec-number&gt;&lt;foreign-keys&gt;&lt;key app="EN" db-id="9xtppttv1tfpsqedswup2p2w5tvf59x5dt5d" timestamp="1653827292"&gt;247&lt;/key&gt;&lt;/foreign-keys&gt;&lt;ref-type name="Journal Article"&gt;17&lt;/ref-type&gt;&lt;contributors&gt;&lt;authors&gt;&lt;author&gt;Neirotti, Paolo&lt;/author&gt;&lt;author&gt;De Marco, Alberto&lt;/author&gt;&lt;author&gt;Cagliano, Anna Corinna&lt;/author&gt;&lt;author&gt;Mangano, Giulio&lt;/author&gt;&lt;author&gt;Scorrano, Francesco&lt;/author&gt;&lt;/authors&gt;&lt;/contributors&gt;&lt;titles&gt;&lt;title&gt;Current trends in Smart City initiatives: Some stylised facts&lt;/title&gt;&lt;secondary-title&gt;Cities&lt;/secondary-title&gt;&lt;/titles&gt;&lt;periodical&gt;&lt;full-title&gt;Cities&lt;/full-title&gt;&lt;/periodical&gt;&lt;pages&gt;25-36&lt;/pages&gt;&lt;volume&gt;38&lt;/volume&gt;&lt;dates&gt;&lt;year&gt;2014&lt;/year&gt;&lt;/dates&gt;&lt;isbn&gt;0264-2751&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(Neirotti, et al., 2014)</w:t>
      </w:r>
      <w:r w:rsidR="00A3320D" w:rsidRPr="002A63BA">
        <w:rPr>
          <w:rFonts w:ascii="Open Sans" w:hAnsi="Open Sans" w:cs="Open Sans"/>
          <w:noProof/>
        </w:rPr>
        <w:fldChar w:fldCharType="end"/>
      </w:r>
      <w:r w:rsidRPr="002A63BA">
        <w:rPr>
          <w:rFonts w:ascii="Open Sans" w:hAnsi="Open Sans" w:cs="Open Sans"/>
          <w:noProof/>
        </w:rPr>
        <w:t>.</w:t>
      </w:r>
    </w:p>
    <w:p w14:paraId="471F4A43" w14:textId="77777777" w:rsidR="008A5B76" w:rsidRPr="002A63BA" w:rsidRDefault="008A5B76" w:rsidP="00FF3EE4">
      <w:pPr>
        <w:spacing w:line="276" w:lineRule="auto"/>
        <w:rPr>
          <w:rFonts w:ascii="Open Sans" w:hAnsi="Open Sans" w:cs="Open Sans"/>
          <w:noProof/>
        </w:rPr>
      </w:pPr>
      <w:r w:rsidRPr="002A63BA">
        <w:rPr>
          <w:rFonts w:ascii="Open Sans" w:hAnsi="Open Sans" w:cs="Open Sans"/>
        </w:rPr>
        <w:t xml:space="preserve">More ransomware attacks are also expected to happen on a global level. Immense pressure will be put on governments to build resilient cyber systems to have a strong defence against any cyber-attacks. The focus should thus be on data protection, frequent system backups, building </w:t>
      </w:r>
      <w:r w:rsidRPr="002A63BA">
        <w:rPr>
          <w:rFonts w:ascii="Open Sans" w:hAnsi="Open Sans" w:cs="Open Sans"/>
        </w:rPr>
        <w:lastRenderedPageBreak/>
        <w:t xml:space="preserve">cyber contingency plans, and cybersecurity education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&lt;EndNote&gt;&lt;Cite&gt;&lt;Author&gt;Musulin&lt;/Author&gt;&lt;Year&gt;2021&lt;/Year&gt;&lt;RecNum&gt;289&lt;/RecNum&gt;&lt;DisplayText&gt;(Musulin, Teale, &amp;amp; Crowe, 2021)&lt;/DisplayText&gt;&lt;record&gt;&lt;rec-number&gt;289&lt;/rec-number&gt;&lt;foreign-keys&gt;&lt;key app="EN" db-id="9xtppttv1tfpsqedswup2p2w5tvf59x5dt5d" timestamp="1653914847"&gt;289&lt;/key&gt;&lt;/foreign-keys&gt;&lt;ref-type name="Journal Article"&gt;17&lt;/ref-type&gt;&lt;contributors&gt;&lt;authors&gt;&lt;author&gt;Musulin, Kristin&lt;/author&gt;&lt;author&gt;Teale, Chris&lt;/author&gt;&lt;author&gt;Crowe, Cailin&lt;/author&gt;&lt;/authors&gt;&lt;/contributors&gt;&lt;titles&gt;&lt;title&gt;CES showcases 6 trends to shape smart cities in 2021&lt;/title&gt;&lt;secondary-title&gt;Smart Cities Dive&lt;/secondary-title&gt;&lt;/titles&gt;&lt;periodical&gt;&lt;full-title&gt;Smart Cities Dive&lt;/full-title&gt;&lt;/periodical&gt;&lt;keywords&gt;&lt;keyword&gt;Housing And Urban Planning&lt;/keyword&gt;&lt;keyword&gt;Smart cities&lt;/keyword&gt;&lt;keyword&gt;Trends&lt;/keyword&gt;&lt;keyword&gt;Electric bicycles&lt;/keyword&gt;&lt;keyword&gt;Coronaviruses&lt;/keyword&gt;&lt;keyword&gt;Pandemics&lt;/keyword&gt;&lt;keyword&gt;COVID-19&lt;/keyword&gt;&lt;keyword&gt;51731:Wired and Wireless Telecommunications Carriers&lt;/keyword&gt;&lt;/keywords&gt;&lt;dates&gt;&lt;year&gt;2021&lt;/year&gt;&lt;pub-dates&gt;&lt;date&gt;2021 Jan 20&amp;#xD;2021-09-09&lt;/date&gt;&lt;/pub-dates&gt;&lt;/dates&gt;&lt;pub-location&gt;Washington&lt;/pub-location&gt;&lt;publisher&gt;Industry Dive&lt;/publisher&gt;&lt;accession-num&gt;2481405798&lt;/accession-num&gt;&lt;urls&gt;&lt;related-urls&gt;&lt;url&gt;http://nukweb.nuk.uni-lj.si/login?url=https://www.proquest.com/trade-journals/ces-showcases-6-trends-shape-smart-cities-2021/docview/2481405798/se-2?accountid=28926&lt;/url&gt;&lt;url&gt;https://adz.izum.si/UNILJ?url_ver=Z39.88-2004&amp;amp;rft_val_fmt=info:ofi/fmt:kev:mtx:journal&amp;amp;genre=article&amp;amp;sid=ProQ:ProQ%3Apq1busgeneral&amp;amp;atitle=CES+showcases+6+trends+to+shape+smart+cities+in+2021&amp;amp;title=Smart+Cities+Dive&amp;amp;issn=&amp;amp;date=2021-01-20&amp;amp;volume=&amp;amp;issue=&amp;amp;spage=&amp;amp;au=Musulin%2C+Kristin%3BTeale%2C+Chris%3BCrowe%2C+Cailin&amp;amp;isbn=&amp;amp;jtitle=Smart+Cities+Dive&amp;amp;btitle=&amp;amp;rft_id=info:eric/&amp;amp;rft_id=info:doi/&lt;/url&gt;&lt;/related-urls&gt;&lt;/urls&gt;&lt;remote-database-name&gt;ProQuest One Business&lt;/remote-database-name&gt;&lt;language&gt;English&lt;/language&gt;&lt;/record&gt;&lt;/Cite&gt;&lt;/EndNote&gt;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(Musulin, Teale, &amp; Crowe, 2021)</w:t>
      </w:r>
      <w:r w:rsidR="00A3320D" w:rsidRPr="002A63BA">
        <w:rPr>
          <w:rFonts w:ascii="Open Sans" w:hAnsi="Open Sans" w:cs="Open Sans"/>
        </w:rPr>
        <w:fldChar w:fldCharType="end"/>
      </w:r>
      <w:r w:rsidRPr="002A63BA">
        <w:rPr>
          <w:rFonts w:ascii="Open Sans" w:hAnsi="Open Sans" w:cs="Open Sans"/>
        </w:rPr>
        <w:t>.</w:t>
      </w:r>
    </w:p>
    <w:p w14:paraId="1670B7CC" w14:textId="77777777" w:rsidR="00361150" w:rsidRPr="002A63BA" w:rsidRDefault="00361150" w:rsidP="00FF3EE4">
      <w:pPr>
        <w:pStyle w:val="Naslov2"/>
        <w:spacing w:line="276" w:lineRule="auto"/>
        <w:rPr>
          <w:rFonts w:ascii="Open Sans" w:hAnsi="Open Sans" w:cs="Open Sans"/>
          <w:noProof/>
          <w:sz w:val="22"/>
          <w:szCs w:val="22"/>
        </w:rPr>
      </w:pPr>
      <w:bookmarkStart w:id="17" w:name="_hjvisvmxyupf" w:colFirst="0" w:colLast="0"/>
      <w:bookmarkEnd w:id="17"/>
      <w:r w:rsidRPr="002A63BA">
        <w:rPr>
          <w:rFonts w:ascii="Open Sans" w:hAnsi="Open Sans" w:cs="Open Sans"/>
          <w:noProof/>
          <w:sz w:val="22"/>
          <w:szCs w:val="22"/>
        </w:rPr>
        <w:t>Surveillance and Policing Through AI</w:t>
      </w:r>
    </w:p>
    <w:p w14:paraId="4432B1FC" w14:textId="19F5EACE" w:rsidR="00361150" w:rsidRPr="002A63BA" w:rsidRDefault="00361150" w:rsidP="00FF3EE4">
      <w:pPr>
        <w:spacing w:line="276" w:lineRule="auto"/>
        <w:rPr>
          <w:rFonts w:ascii="Open Sans" w:hAnsi="Open Sans" w:cs="Open Sans"/>
          <w:noProof/>
        </w:rPr>
      </w:pPr>
      <w:r w:rsidRPr="002A63BA">
        <w:rPr>
          <w:rFonts w:ascii="Open Sans" w:hAnsi="Open Sans" w:cs="Open Sans"/>
          <w:noProof/>
        </w:rPr>
        <w:t xml:space="preserve">Cities are using the power of AI to ensure the security, safety and wellbeing of their citizens and all the while safeguarding their privacy and human rights. The upside of this technology is that it can prevent many crimes and also help detain offenders after a crime has been committed. However, this trend is still very controversial as it can be seen as an invasion of privacy. Such AI’s are able to accurately predict if a person has committed multiple crimes by comparing data from different crimes. Such controversial systems can already be seen today, especially in China, where the government is using AI systems to monitor their citizens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&lt;EndNote&gt;&lt;Cite&gt;&lt;Author&gt;Antunes&lt;/Author&gt;&lt;Year&gt;2021&lt;/Year&gt;&lt;RecNum&gt;248&lt;/RecNum&gt;&lt;DisplayText&gt;(Antunes, et al., 2021)&lt;/DisplayText&gt;&lt;record&gt;&lt;rec-number&gt;248&lt;/rec-number&gt;&lt;foreign-keys&gt;&lt;key app="EN" db-id="9xtppttv1tfpsqedswup2p2w5tvf59x5dt5d" timestamp="1653827803"&gt;248&lt;/key&gt;&lt;/foreign-keys&gt;&lt;ref-type name="Report"&gt;27&lt;/ref-type&gt;&lt;contributors&gt;&lt;authors&gt;&lt;author&gt;&lt;style face="normal" font="default" charset="238" size="100%"&gt;Antunes, M., &lt;/style&gt;&lt;/author&gt;&lt;author&gt;&lt;style face="normal" font="default" charset="238" size="100%"&gt;Barocca, G., &lt;/style&gt;&lt;/author&gt;&lt;author&gt;&lt;style face="normal" font="default" charset="238" size="100%"&gt;Guerreiro Oliveira, D. &lt;/style&gt;&lt;/author&gt;&lt;/authors&gt;&lt;tertiary-authors&gt;&lt;author&gt;&lt;style face="normal" font="default" charset="238" size="100%"&gt;Deloitte Insights&lt;/style&gt;&lt;/author&gt;&lt;/tertiary-authors&gt;&lt;/contributors&gt;&lt;titles&gt;&lt;title&gt;&lt;style face="normal" font="default" size="100%"&gt;Urban future&lt;/style&gt;&lt;style face="normal" font="default" charset="238" size="100%"&gt; &lt;/style&gt;&lt;style face="normal" font="default" size="100%"&gt;with a purpose&lt;/style&gt;&lt;style face="normal" font="default" charset="238" size="100%"&gt;: &lt;/style&gt;&lt;style face="normal" font="default" size="100%"&gt;12 trends shaping human living&lt;/style&gt;&lt;/title&gt;&lt;/titles&gt;&lt;dates&gt;&lt;year&gt;&lt;style face="normal" font="default" charset="238" size="100%"&gt;2021&lt;/style&gt;&lt;/year&gt;&lt;/dates&gt;&lt;publisher&gt;&lt;style face="normal" font="default" charset="238" size="100%"&gt;Deloitte University&lt;/style&gt;&lt;/publisher&gt;&lt;urls&gt;&lt;related-urls&gt;&lt;url&gt;https://www2.deloitte.com/content/dam/insights/articles/emea134305-urban-future-with-a-purpose/DI_Urban-future-with-a-purpose.pdf&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(Antunes, et al., 2021)</w:t>
      </w:r>
      <w:r w:rsidR="00A3320D" w:rsidRPr="002A63BA">
        <w:rPr>
          <w:rFonts w:ascii="Open Sans" w:hAnsi="Open Sans" w:cs="Open Sans"/>
          <w:noProof/>
        </w:rPr>
        <w:fldChar w:fldCharType="end"/>
      </w:r>
      <w:r w:rsidR="001909EF" w:rsidRPr="002A63BA">
        <w:rPr>
          <w:rFonts w:ascii="Open Sans" w:hAnsi="Open Sans" w:cs="Open Sans"/>
          <w:noProof/>
        </w:rPr>
        <w:t>.</w:t>
      </w:r>
    </w:p>
    <w:p w14:paraId="67E2E3A4" w14:textId="76E7D3FD" w:rsidR="00361150" w:rsidRPr="002A63BA" w:rsidRDefault="00361150" w:rsidP="00FF3EE4">
      <w:pPr>
        <w:pStyle w:val="N1"/>
      </w:pPr>
      <w:r w:rsidRPr="002A63BA">
        <w:t>CASES OF SMART CITY IMPLEMENTATION</w:t>
      </w:r>
    </w:p>
    <w:p w14:paraId="0643F548" w14:textId="77777777" w:rsidR="00A2166C" w:rsidRPr="002A63BA" w:rsidRDefault="000E7EBC" w:rsidP="00FF3EE4">
      <w:pPr>
        <w:pStyle w:val="Naslov2"/>
        <w:spacing w:line="276" w:lineRule="auto"/>
        <w:rPr>
          <w:rFonts w:ascii="Open Sans" w:hAnsi="Open Sans" w:cs="Open Sans"/>
          <w:noProof/>
          <w:sz w:val="22"/>
          <w:szCs w:val="22"/>
        </w:rPr>
      </w:pPr>
      <w:r w:rsidRPr="002A63BA">
        <w:rPr>
          <w:rFonts w:ascii="Open Sans" w:hAnsi="Open Sans" w:cs="Open Sans"/>
          <w:noProof/>
          <w:sz w:val="22"/>
          <w:szCs w:val="22"/>
        </w:rPr>
        <w:t>Dubai</w:t>
      </w:r>
    </w:p>
    <w:p w14:paraId="78257171" w14:textId="77777777" w:rsidR="00D66C51" w:rsidRPr="002A63BA" w:rsidRDefault="00D66C51" w:rsidP="00FF3EE4">
      <w:pPr>
        <w:spacing w:line="276" w:lineRule="auto"/>
        <w:rPr>
          <w:rFonts w:ascii="Open Sans" w:eastAsia="Times New Roman" w:hAnsi="Open Sans" w:cs="Open Sans"/>
          <w:noProof/>
          <w:color w:val="000000" w:themeColor="text1"/>
          <w:shd w:val="clear" w:color="auto" w:fill="FFFFFF"/>
        </w:rPr>
      </w:pPr>
      <w:r w:rsidRPr="002A63BA">
        <w:rPr>
          <w:rFonts w:ascii="Open Sans" w:eastAsia="Times New Roman" w:hAnsi="Open Sans" w:cs="Open Sans"/>
          <w:noProof/>
          <w:color w:val="000000" w:themeColor="text1"/>
          <w:shd w:val="clear" w:color="auto" w:fill="FFFFFF"/>
        </w:rPr>
        <w:t xml:space="preserve">Dubai’s mission was to improve the quality of life and increase happiness of its residents and visitors with a rapid adoption of digital innovation to make the city more sustainable, inclusive and safer as well as enhance people’s experience in it </w:t>
      </w:r>
      <w:r w:rsidR="00A3320D" w:rsidRPr="002A63BA">
        <w:rPr>
          <w:rFonts w:ascii="Open Sans" w:eastAsia="Times New Roman" w:hAnsi="Open Sans" w:cs="Open Sans"/>
          <w:noProof/>
          <w:color w:val="000000" w:themeColor="text1"/>
          <w:shd w:val="clear" w:color="auto" w:fill="FFFFFF"/>
        </w:rPr>
        <w:fldChar w:fldCharType="begin"/>
      </w:r>
      <w:r w:rsidR="00A3320D" w:rsidRPr="002A63BA">
        <w:rPr>
          <w:rFonts w:ascii="Open Sans" w:eastAsia="Times New Roman" w:hAnsi="Open Sans" w:cs="Open Sans"/>
          <w:noProof/>
          <w:color w:val="000000" w:themeColor="text1"/>
          <w:shd w:val="clear" w:color="auto" w:fill="FFFFFF"/>
        </w:rPr>
        <w:instrText xml:space="preserve"> ADDIN EN.CITE &lt;EndNote&gt;&lt;Cite&gt;&lt;Author&gt;Dassani&lt;/Author&gt;&lt;Year&gt;2015&lt;/Year&gt;&lt;RecNum&gt;262&lt;/RecNum&gt;&lt;DisplayText&gt;(Dassani, Nirwan, &amp;amp; Hariharan, 2015)&lt;/DisplayText&gt;&lt;record&gt;&lt;rec-number&gt;262&lt;/rec-number&gt;&lt;foreign-keys&gt;&lt;key app="EN" db-id="9xtppttv1tfpsqedswup2p2w5tvf59x5dt5d" timestamp="1653850379"&gt;262&lt;/key&gt;&lt;/foreign-keys&gt;&lt;ref-type name="Report"&gt;27&lt;/ref-type&gt;&lt;contributors&gt;&lt;authors&gt;&lt;author&gt;Dassani, N.&lt;/author&gt;&lt;author&gt;Nirwan, D.&lt;/author&gt;&lt;author&gt;Hariharan, G.&lt;/author&gt;&lt;/authors&gt;&lt;/contributors&gt;&lt;titles&gt;&lt;title&gt;Dubai A New Paradigm For Smart Cities&lt;/title&gt;&lt;/titles&gt;&lt;dates&gt;&lt;year&gt;&lt;style face="normal" font="default" charset="238" size="100%"&gt;2015&lt;/style&gt;&lt;/year&gt;&lt;/dates&gt;&lt;pub-location&gt;&lt;style face="normal" font="default" charset="238" size="100%"&gt;UAE&lt;/style&gt;&lt;/pub-location&gt;&lt;publisher&gt;&lt;style face="normal" font="default" charset="238" size="100%"&gt;KPMG&lt;/style&gt;&lt;/publisher&gt;&lt;urls&gt;&lt;/urls&gt;&lt;/record&gt;&lt;/Cite&gt;&lt;/EndNote&gt;</w:instrText>
      </w:r>
      <w:r w:rsidR="00A3320D" w:rsidRPr="002A63BA">
        <w:rPr>
          <w:rFonts w:ascii="Open Sans" w:eastAsia="Times New Roman" w:hAnsi="Open Sans" w:cs="Open Sans"/>
          <w:noProof/>
          <w:color w:val="000000" w:themeColor="text1"/>
          <w:shd w:val="clear" w:color="auto" w:fill="FFFFFF"/>
        </w:rPr>
        <w:fldChar w:fldCharType="separate"/>
      </w:r>
      <w:r w:rsidR="00A3320D" w:rsidRPr="002A63BA">
        <w:rPr>
          <w:rFonts w:ascii="Open Sans" w:eastAsia="Times New Roman" w:hAnsi="Open Sans" w:cs="Open Sans"/>
          <w:noProof/>
          <w:color w:val="000000" w:themeColor="text1"/>
          <w:shd w:val="clear" w:color="auto" w:fill="FFFFFF"/>
        </w:rPr>
        <w:t>(Dassani, Nirwan, &amp; Hariharan, 2015)</w:t>
      </w:r>
      <w:r w:rsidR="00A3320D" w:rsidRPr="002A63BA">
        <w:rPr>
          <w:rFonts w:ascii="Open Sans" w:eastAsia="Times New Roman" w:hAnsi="Open Sans" w:cs="Open Sans"/>
          <w:noProof/>
          <w:color w:val="000000" w:themeColor="text1"/>
          <w:shd w:val="clear" w:color="auto" w:fill="FFFFFF"/>
        </w:rPr>
        <w:fldChar w:fldCharType="end"/>
      </w:r>
      <w:r w:rsidRPr="002A63BA">
        <w:rPr>
          <w:rFonts w:ascii="Open Sans" w:eastAsia="Times New Roman" w:hAnsi="Open Sans" w:cs="Open Sans"/>
          <w:noProof/>
          <w:color w:val="000000" w:themeColor="text1"/>
          <w:shd w:val="clear" w:color="auto" w:fill="FFFFFF"/>
        </w:rPr>
        <w:t xml:space="preserve">. A big reason for Dubai’s success in the transition into a smart city has been a high and increasing dependence of its population on their personal devices. A challenge is concerned with privacy since there is a necessity for cities’ creation of privacy governance policies that clearly state which data can be collected and stored and who can have access to it </w:t>
      </w:r>
      <w:r w:rsidR="00A3320D" w:rsidRPr="002A63BA">
        <w:rPr>
          <w:rFonts w:ascii="Open Sans" w:eastAsia="Times New Roman" w:hAnsi="Open Sans" w:cs="Open Sans"/>
          <w:noProof/>
          <w:color w:val="000000" w:themeColor="text1"/>
          <w:shd w:val="clear" w:color="auto" w:fill="FFFFFF"/>
        </w:rPr>
        <w:fldChar w:fldCharType="begin"/>
      </w:r>
      <w:r w:rsidR="00A3320D" w:rsidRPr="002A63BA">
        <w:rPr>
          <w:rFonts w:ascii="Open Sans" w:eastAsia="Times New Roman" w:hAnsi="Open Sans" w:cs="Open Sans"/>
          <w:noProof/>
          <w:color w:val="000000" w:themeColor="text1"/>
          <w:shd w:val="clear" w:color="auto" w:fill="FFFFFF"/>
        </w:rPr>
        <w:instrText xml:space="preserve"> ADDIN EN.CITE &lt;EndNote&gt;&lt;Cite&gt;&lt;Author&gt;Dassani&lt;/Author&gt;&lt;Year&gt;2015&lt;/Year&gt;&lt;RecNum&gt;262&lt;/RecNum&gt;&lt;DisplayText&gt;(Dassani, et al., 2015)&lt;/DisplayText&gt;&lt;record&gt;&lt;rec-number&gt;262&lt;/rec-number&gt;&lt;foreign-keys&gt;&lt;key app="EN" db-id="9xtppttv1tfpsqedswup2p2w5tvf59x5dt5d" timestamp="1653850379"&gt;262&lt;/key&gt;&lt;/foreign-keys&gt;&lt;ref-type name="Report"&gt;27&lt;/ref-type&gt;&lt;contributors&gt;&lt;authors&gt;&lt;author&gt;Dassani, N.&lt;/author&gt;&lt;author&gt;Nirwan, D.&lt;/author&gt;&lt;author&gt;Hariharan, G.&lt;/author&gt;&lt;/authors&gt;&lt;/contributors&gt;&lt;titles&gt;&lt;title&gt;Dubai A New Paradigm For Smart Cities&lt;/title&gt;&lt;/titles&gt;&lt;dates&gt;&lt;year&gt;&lt;style face="normal" font="default" charset="238" size="100%"&gt;2015&lt;/style&gt;&lt;/year&gt;&lt;/dates&gt;&lt;pub-location&gt;&lt;style face="normal" font="default" charset="238" size="100%"&gt;UAE&lt;/style&gt;&lt;/pub-location&gt;&lt;publisher&gt;&lt;style face="normal" font="default" charset="238" size="100%"&gt;KPMG&lt;/style&gt;&lt;/publisher&gt;&lt;urls&gt;&lt;/urls&gt;&lt;/record&gt;&lt;/Cite&gt;&lt;/EndNote&gt;</w:instrText>
      </w:r>
      <w:r w:rsidR="00A3320D" w:rsidRPr="002A63BA">
        <w:rPr>
          <w:rFonts w:ascii="Open Sans" w:eastAsia="Times New Roman" w:hAnsi="Open Sans" w:cs="Open Sans"/>
          <w:noProof/>
          <w:color w:val="000000" w:themeColor="text1"/>
          <w:shd w:val="clear" w:color="auto" w:fill="FFFFFF"/>
        </w:rPr>
        <w:fldChar w:fldCharType="separate"/>
      </w:r>
      <w:r w:rsidR="00A3320D" w:rsidRPr="002A63BA">
        <w:rPr>
          <w:rFonts w:ascii="Open Sans" w:eastAsia="Times New Roman" w:hAnsi="Open Sans" w:cs="Open Sans"/>
          <w:noProof/>
          <w:color w:val="000000" w:themeColor="text1"/>
          <w:shd w:val="clear" w:color="auto" w:fill="FFFFFF"/>
        </w:rPr>
        <w:t>(Dassani, et al., 2015)</w:t>
      </w:r>
      <w:r w:rsidR="00A3320D" w:rsidRPr="002A63BA">
        <w:rPr>
          <w:rFonts w:ascii="Open Sans" w:eastAsia="Times New Roman" w:hAnsi="Open Sans" w:cs="Open Sans"/>
          <w:noProof/>
          <w:color w:val="000000" w:themeColor="text1"/>
          <w:shd w:val="clear" w:color="auto" w:fill="FFFFFF"/>
        </w:rPr>
        <w:fldChar w:fldCharType="end"/>
      </w:r>
      <w:r w:rsidRPr="002A63BA">
        <w:rPr>
          <w:rFonts w:ascii="Open Sans" w:eastAsia="Times New Roman" w:hAnsi="Open Sans" w:cs="Open Sans"/>
          <w:noProof/>
          <w:color w:val="000000" w:themeColor="text1"/>
          <w:shd w:val="clear" w:color="auto" w:fill="FFFFFF"/>
        </w:rPr>
        <w:t>.</w:t>
      </w:r>
    </w:p>
    <w:p w14:paraId="4F7DF549" w14:textId="77777777" w:rsidR="00BA476B" w:rsidRPr="002A63BA" w:rsidRDefault="00BA476B" w:rsidP="00FF3EE4">
      <w:pPr>
        <w:spacing w:line="276" w:lineRule="auto"/>
        <w:rPr>
          <w:rFonts w:ascii="Open Sans" w:hAnsi="Open Sans" w:cs="Open Sans"/>
          <w:noProof/>
        </w:rPr>
      </w:pPr>
      <w:r w:rsidRPr="002A63BA">
        <w:rPr>
          <w:rFonts w:ascii="Open Sans" w:hAnsi="Open Sans" w:cs="Open Sans"/>
          <w:noProof/>
        </w:rPr>
        <w:t>Dubai has its own office for digital transformation, namely Digital Dubai</w:t>
      </w:r>
      <w:r w:rsidR="0028386D" w:rsidRPr="002A63BA">
        <w:rPr>
          <w:rFonts w:ascii="Open Sans" w:hAnsi="Open Sans" w:cs="Open Sans"/>
          <w:noProof/>
        </w:rPr>
        <w:t xml:space="preserv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&lt;EndNote&gt;&lt;Cite&gt;&lt;Author&gt;Digital Dubai&lt;/Author&gt;&lt;Year&gt;2020&lt;/Year&gt;&lt;RecNum&gt;245&lt;/RecNum&gt;&lt;DisplayText&gt;(Digital Dubai, 2020)&lt;/DisplayText&gt;&lt;record&gt;&lt;rec-number&gt;245&lt;/rec-number&gt;&lt;foreign-keys&gt;&lt;key app="EN" db-id="9xtppttv1tfpsqedswup2p2w5tvf59x5dt5d" timestamp="1653816626"&gt;245&lt;/key&gt;&lt;/foreign-keys&gt;&lt;ref-type name="Web Page"&gt;12&lt;/ref-type&gt;&lt;contributors&gt;&lt;authors&gt;&lt;author&gt;&lt;style face="normal" font="default" charset="238" size="100%"&gt;Digital Dubai,&lt;/style&gt;&lt;/author&gt;&lt;/authors&gt;&lt;/contributors&gt;&lt;titles&gt;&lt;title&gt;&lt;style face="normal" font="default" charset="238" size="100%"&gt;Our vision is to digitalize life in Dubai&lt;/style&gt;&lt;/title&gt;&lt;/titles&gt;&lt;dates&gt;&lt;year&gt;&lt;style face="normal" font="default" charset="238" size="100%"&gt;2020&lt;/style&gt;&lt;/year&gt;&lt;/dates&gt;&lt;urls&gt;&lt;related-urls&gt;&lt;url&gt;https://www.digitaldubai.ae/&lt;/url&gt;&lt;/related-urls&gt;&lt;/urls&gt;&lt;/record&gt;&lt;/Cite&gt;&lt;/EndNote&gt;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(Digital Dubai, 2020)</w:t>
      </w:r>
      <w:r w:rsidR="00A3320D" w:rsidRPr="002A63BA">
        <w:rPr>
          <w:rFonts w:ascii="Open Sans" w:hAnsi="Open Sans" w:cs="Open Sans"/>
          <w:noProof/>
        </w:rPr>
        <w:fldChar w:fldCharType="end"/>
      </w:r>
      <w:r w:rsidRPr="002A63BA">
        <w:rPr>
          <w:rFonts w:ascii="Open Sans" w:hAnsi="Open Sans" w:cs="Open Sans"/>
          <w:noProof/>
        </w:rPr>
        <w:t xml:space="preserve">. More than 130 projects and partnerships with governmental and non-governmental organizations have been launched within this office. Their key initiatives include a data initiative, a blockchain </w:t>
      </w:r>
      <w:r w:rsidRPr="002A63BA">
        <w:rPr>
          <w:rFonts w:ascii="Open Sans" w:hAnsi="Open Sans" w:cs="Open Sans"/>
          <w:noProof/>
        </w:rPr>
        <w:lastRenderedPageBreak/>
        <w:t>strategy, a happiness agenda, an artificial intelligence plan, a start-up assistance and a paperless strategy.</w:t>
      </w:r>
      <w:r w:rsidR="0028386D" w:rsidRPr="002A63BA">
        <w:rPr>
          <w:rFonts w:ascii="Open Sans" w:hAnsi="Open Sans" w:cs="Open Sans"/>
          <w:noProof/>
        </w:rPr>
        <w:t xml:space="preserve"> Below, the data initiative and a start-up assistance is additionally described.</w:t>
      </w:r>
    </w:p>
    <w:p w14:paraId="2E37C777" w14:textId="77777777" w:rsidR="00BA476B" w:rsidRPr="002A63BA" w:rsidRDefault="00A2166C" w:rsidP="00FF3EE4">
      <w:pPr>
        <w:spacing w:line="276" w:lineRule="auto"/>
        <w:rPr>
          <w:rFonts w:ascii="Open Sans" w:hAnsi="Open Sans" w:cs="Open Sans"/>
          <w:noProof/>
        </w:rPr>
      </w:pPr>
      <w:r w:rsidRPr="002A63BA">
        <w:rPr>
          <w:rFonts w:ascii="Open Sans" w:hAnsi="Open Sans" w:cs="Open Sans"/>
          <w:noProof/>
        </w:rPr>
        <w:t xml:space="preserve">The main purpose of the Data Initiative is to increase the smooth accessibility and exchange of location data, improve data management and coherence, and establish a strong data community. </w:t>
      </w:r>
      <w:r w:rsidR="00BA476B" w:rsidRPr="002A63BA">
        <w:rPr>
          <w:rFonts w:ascii="Open Sans" w:hAnsi="Open Sans" w:cs="Open Sans"/>
          <w:noProof/>
        </w:rPr>
        <w:t>Data is used for (1) measuring the social happiness index with the help of AI; (2) visualization of electricity and water consumption in urban communities; (3) a food inspection dashboard to help inspectors plan inspection locations, frequencies and results with a visual display; (4) observing urban flow as the population changes and moves, which is invaluable for urban planners, government entities and real estate developers.</w:t>
      </w:r>
    </w:p>
    <w:p w14:paraId="2CEBE0D2" w14:textId="77777777" w:rsidR="00A2166C" w:rsidRPr="002A63BA" w:rsidRDefault="00BA476B" w:rsidP="00FF3EE4">
      <w:pPr>
        <w:spacing w:line="276" w:lineRule="auto"/>
        <w:rPr>
          <w:rFonts w:ascii="Open Sans" w:hAnsi="Open Sans" w:cs="Open Sans"/>
          <w:noProof/>
        </w:rPr>
      </w:pPr>
      <w:r w:rsidRPr="002A63BA">
        <w:rPr>
          <w:rFonts w:ascii="Open Sans" w:hAnsi="Open Sans" w:cs="Open Sans"/>
          <w:noProof/>
        </w:rPr>
        <w:t>Eventually, Dubai Data wants to become an impartial market data intermediary in the city and create an open and well-regulated market where the value of data is realized and used to trigger new opportunities.</w:t>
      </w:r>
    </w:p>
    <w:p w14:paraId="701CA1CB" w14:textId="77777777" w:rsidR="0028386D" w:rsidRPr="002A63BA" w:rsidRDefault="0028386D" w:rsidP="00FF3EE4">
      <w:pPr>
        <w:spacing w:line="276" w:lineRule="auto"/>
        <w:rPr>
          <w:rFonts w:ascii="Open Sans" w:hAnsi="Open Sans" w:cs="Open Sans"/>
          <w:noProof/>
        </w:rPr>
      </w:pPr>
      <w:r w:rsidRPr="002A63BA">
        <w:rPr>
          <w:rFonts w:ascii="Open Sans" w:hAnsi="Open Sans" w:cs="Open Sans"/>
          <w:noProof/>
        </w:rPr>
        <w:t xml:space="preserve">A start-up assistance refers to Dubai Smart City Accelerator which is a leading accelerator supporting innovative businesses in areas of the Internet of Things and Connectivity, Urban Automation, Mobility, Artificial Intelligence, Sustainable Cities, Smart Government and the Smart Retail Industry. </w:t>
      </w:r>
      <w:r w:rsidR="00A976BA" w:rsidRPr="002A63BA">
        <w:rPr>
          <w:rFonts w:ascii="Open Sans" w:hAnsi="Open Sans" w:cs="Open Sans"/>
          <w:noProof/>
        </w:rPr>
        <w:t>With the initiative the focus is on</w:t>
      </w:r>
      <w:r w:rsidRPr="002A63BA">
        <w:rPr>
          <w:rFonts w:ascii="Open Sans" w:hAnsi="Open Sans" w:cs="Open Sans"/>
          <w:noProof/>
        </w:rPr>
        <w:t xml:space="preserve"> looking for innovative solutions to help make cities smarter and overcome important challenges due to congestion, waste and energy to improve people's quality of life.</w:t>
      </w:r>
    </w:p>
    <w:p w14:paraId="1577C9DB" w14:textId="77777777" w:rsidR="00013547" w:rsidRPr="002A63BA" w:rsidRDefault="00013547" w:rsidP="00FF3EE4">
      <w:pPr>
        <w:spacing w:line="276" w:lineRule="auto"/>
        <w:rPr>
          <w:rFonts w:ascii="Open Sans" w:hAnsi="Open Sans" w:cs="Open Sans"/>
          <w:noProof/>
        </w:rPr>
      </w:pPr>
      <w:r w:rsidRPr="002A63BA">
        <w:rPr>
          <w:rFonts w:ascii="Open Sans" w:hAnsi="Open Sans" w:cs="Open Sans"/>
          <w:noProof/>
        </w:rPr>
        <w:t>The initiative Digital Dubai is implemented through a large number of technology-supported applications that residents and visitors to the city can use on a daily basis to make life easier and better. These include Dubai Now, Rashid, Dubai Pulse, Dubai Careers, Smart Employee, Happiness Meter and many more.</w:t>
      </w:r>
    </w:p>
    <w:p w14:paraId="001D320C" w14:textId="103433EB" w:rsidR="00D50F67" w:rsidRPr="002A63BA" w:rsidRDefault="00013547" w:rsidP="00FF3EE4">
      <w:pPr>
        <w:spacing w:line="276" w:lineRule="auto"/>
        <w:rPr>
          <w:rFonts w:ascii="Open Sans" w:hAnsi="Open Sans" w:cs="Open Sans"/>
          <w:noProof/>
        </w:rPr>
      </w:pPr>
      <w:r w:rsidRPr="002A63BA">
        <w:rPr>
          <w:rFonts w:ascii="Open Sans" w:hAnsi="Open Sans" w:cs="Open Sans"/>
          <w:noProof/>
        </w:rPr>
        <w:t xml:space="preserve">For example Dubai Now is government application to provide access to 120 public and private sector services. The goal is to offer everything in one place </w:t>
      </w:r>
      <w:r w:rsidR="000E5BF2" w:rsidRPr="002A63BA">
        <w:rPr>
          <w:rFonts w:ascii="Open Sans" w:hAnsi="Open Sans" w:cs="Open Sans"/>
          <w:noProof/>
        </w:rPr>
        <w:t>such as:</w:t>
      </w:r>
      <w:r w:rsidRPr="002A63BA">
        <w:rPr>
          <w:rFonts w:ascii="Open Sans" w:hAnsi="Open Sans" w:cs="Open Sans"/>
          <w:noProof/>
        </w:rPr>
        <w:t xml:space="preserve"> </w:t>
      </w:r>
      <w:r w:rsidR="000E5BF2" w:rsidRPr="002A63BA">
        <w:rPr>
          <w:rFonts w:ascii="Open Sans" w:hAnsi="Open Sans" w:cs="Open Sans"/>
          <w:noProof/>
        </w:rPr>
        <w:t xml:space="preserve">(1) payment of bills; (2) </w:t>
      </w:r>
      <w:r w:rsidRPr="002A63BA">
        <w:rPr>
          <w:rFonts w:ascii="Open Sans" w:hAnsi="Open Sans" w:cs="Open Sans"/>
          <w:noProof/>
        </w:rPr>
        <w:t xml:space="preserve">everything related to driving (payment of parking fees, fines, renewal of driver's license, car </w:t>
      </w:r>
      <w:r w:rsidRPr="002A63BA">
        <w:rPr>
          <w:rFonts w:ascii="Open Sans" w:hAnsi="Open Sans" w:cs="Open Sans"/>
          <w:noProof/>
        </w:rPr>
        <w:lastRenderedPageBreak/>
        <w:t>registration, sale and purchase of cars, car insuranc</w:t>
      </w:r>
      <w:r w:rsidR="000E5BF2" w:rsidRPr="002A63BA">
        <w:rPr>
          <w:rFonts w:ascii="Open Sans" w:hAnsi="Open Sans" w:cs="Open Sans"/>
          <w:noProof/>
        </w:rPr>
        <w:t xml:space="preserve">e, up-to-date traffic data ...); (3) housing related activities </w:t>
      </w:r>
      <w:r w:rsidRPr="002A63BA">
        <w:rPr>
          <w:rFonts w:ascii="Open Sans" w:hAnsi="Open Sans" w:cs="Open Sans"/>
          <w:noProof/>
        </w:rPr>
        <w:t>(payment of bills for water and electricity, data on water and electricity consumption, viewing of real estate, order</w:t>
      </w:r>
      <w:r w:rsidR="000E5BF2" w:rsidRPr="002A63BA">
        <w:rPr>
          <w:rFonts w:ascii="Open Sans" w:hAnsi="Open Sans" w:cs="Open Sans"/>
          <w:noProof/>
        </w:rPr>
        <w:t xml:space="preserve">ing services for the home, </w:t>
      </w:r>
      <w:r w:rsidRPr="002A63BA">
        <w:rPr>
          <w:rFonts w:ascii="Open Sans" w:hAnsi="Open Sans" w:cs="Open Sans"/>
          <w:noProof/>
        </w:rPr>
        <w:t>visa arrangement</w:t>
      </w:r>
      <w:r w:rsidR="000E5BF2" w:rsidRPr="002A63BA">
        <w:rPr>
          <w:rFonts w:ascii="Open Sans" w:hAnsi="Open Sans" w:cs="Open Sans"/>
          <w:noProof/>
        </w:rPr>
        <w:t xml:space="preserve">…); (4) </w:t>
      </w:r>
      <w:r w:rsidRPr="002A63BA">
        <w:rPr>
          <w:rFonts w:ascii="Open Sans" w:hAnsi="Open Sans" w:cs="Open Sans"/>
          <w:noProof/>
        </w:rPr>
        <w:t xml:space="preserve">health (viewing and managing medical examinations, results and prescriptions for </w:t>
      </w:r>
      <w:r w:rsidR="000E5BF2" w:rsidRPr="002A63BA">
        <w:rPr>
          <w:rFonts w:ascii="Open Sans" w:hAnsi="Open Sans" w:cs="Open Sans"/>
          <w:noProof/>
        </w:rPr>
        <w:t xml:space="preserve">medicines, finding doctors ...); (5) </w:t>
      </w:r>
      <w:r w:rsidRPr="002A63BA">
        <w:rPr>
          <w:rFonts w:ascii="Open Sans" w:hAnsi="Open Sans" w:cs="Open Sans"/>
          <w:noProof/>
        </w:rPr>
        <w:t>education (offer of all schools, signing of a contract b</w:t>
      </w:r>
      <w:r w:rsidR="000E5BF2" w:rsidRPr="002A63BA">
        <w:rPr>
          <w:rFonts w:ascii="Open Sans" w:hAnsi="Open Sans" w:cs="Open Sans"/>
          <w:noProof/>
        </w:rPr>
        <w:t xml:space="preserve">etween parents and school ...); (6) </w:t>
      </w:r>
      <w:r w:rsidRPr="002A63BA">
        <w:rPr>
          <w:rFonts w:ascii="Open Sans" w:hAnsi="Open Sans" w:cs="Open Sans"/>
          <w:noProof/>
        </w:rPr>
        <w:t>security (requesting police certificates, searching for the nearest station, checking the status of cases in court</w:t>
      </w:r>
      <w:r w:rsidR="000E5BF2" w:rsidRPr="002A63BA">
        <w:rPr>
          <w:rFonts w:ascii="Open Sans" w:hAnsi="Open Sans" w:cs="Open Sans"/>
          <w:noProof/>
        </w:rPr>
        <w:t xml:space="preserve">...); (7) </w:t>
      </w:r>
      <w:r w:rsidRPr="002A63BA">
        <w:rPr>
          <w:rFonts w:ascii="Open Sans" w:hAnsi="Open Sans" w:cs="Open Sans"/>
          <w:noProof/>
        </w:rPr>
        <w:t>travel (flight information, lost and found</w:t>
      </w:r>
      <w:r w:rsidR="000E5BF2" w:rsidRPr="002A63BA">
        <w:rPr>
          <w:rFonts w:ascii="Open Sans" w:hAnsi="Open Sans" w:cs="Open Sans"/>
          <w:noProof/>
        </w:rPr>
        <w:t>…</w:t>
      </w:r>
      <w:r w:rsidRPr="002A63BA">
        <w:rPr>
          <w:rFonts w:ascii="Open Sans" w:hAnsi="Open Sans" w:cs="Open Sans"/>
          <w:noProof/>
        </w:rPr>
        <w:t>)</w:t>
      </w:r>
      <w:r w:rsidR="000E5BF2" w:rsidRPr="002A63BA">
        <w:rPr>
          <w:rFonts w:ascii="Open Sans" w:hAnsi="Open Sans" w:cs="Open Sans"/>
          <w:noProof/>
        </w:rPr>
        <w:t xml:space="preserve">; (8) </w:t>
      </w:r>
      <w:r w:rsidRPr="002A63BA">
        <w:rPr>
          <w:rFonts w:ascii="Open Sans" w:hAnsi="Open Sans" w:cs="Open Sans"/>
          <w:noProof/>
        </w:rPr>
        <w:t>Islam (daily prayers, mosques nearby...)</w:t>
      </w:r>
      <w:r w:rsidR="000E5BF2" w:rsidRPr="002A63BA">
        <w:rPr>
          <w:rFonts w:ascii="Open Sans" w:hAnsi="Open Sans" w:cs="Open Sans"/>
          <w:noProof/>
        </w:rPr>
        <w:t>; a</w:t>
      </w:r>
      <w:r w:rsidRPr="002A63BA">
        <w:rPr>
          <w:rFonts w:ascii="Open Sans" w:hAnsi="Open Sans" w:cs="Open Sans"/>
          <w:noProof/>
        </w:rPr>
        <w:t>nd more (</w:t>
      </w:r>
      <w:r w:rsidR="000E5BF2" w:rsidRPr="002A63BA">
        <w:rPr>
          <w:rFonts w:ascii="Open Sans" w:hAnsi="Open Sans" w:cs="Open Sans"/>
          <w:noProof/>
        </w:rPr>
        <w:t xml:space="preserve">like </w:t>
      </w:r>
      <w:r w:rsidRPr="002A63BA">
        <w:rPr>
          <w:rFonts w:ascii="Open Sans" w:hAnsi="Open Sans" w:cs="Open Sans"/>
          <w:noProof/>
        </w:rPr>
        <w:t>donatio</w:t>
      </w:r>
      <w:r w:rsidR="000E5BF2" w:rsidRPr="002A63BA">
        <w:rPr>
          <w:rFonts w:ascii="Open Sans" w:hAnsi="Open Sans" w:cs="Open Sans"/>
          <w:noProof/>
        </w:rPr>
        <w:t>ns, calendar of events in Dubai..</w:t>
      </w:r>
      <w:r w:rsidRPr="002A63BA">
        <w:rPr>
          <w:rFonts w:ascii="Open Sans" w:hAnsi="Open Sans" w:cs="Open Sans"/>
          <w:noProof/>
        </w:rPr>
        <w:t>.)</w:t>
      </w:r>
      <w:r w:rsidR="000E5BF2" w:rsidRPr="002A63BA">
        <w:rPr>
          <w:rFonts w:ascii="Open Sans" w:hAnsi="Open Sans" w:cs="Open Sans"/>
          <w:noProof/>
        </w:rPr>
        <w:t>.</w:t>
      </w:r>
    </w:p>
    <w:p w14:paraId="7B159C32" w14:textId="77777777" w:rsidR="00D50F67" w:rsidRPr="002A63BA" w:rsidRDefault="00D50F67" w:rsidP="00FF3EE4">
      <w:pPr>
        <w:pStyle w:val="Naslov2"/>
        <w:spacing w:line="276" w:lineRule="auto"/>
        <w:rPr>
          <w:rFonts w:ascii="Open Sans" w:hAnsi="Open Sans" w:cs="Open Sans"/>
          <w:noProof/>
          <w:sz w:val="22"/>
          <w:szCs w:val="22"/>
        </w:rPr>
      </w:pPr>
      <w:r w:rsidRPr="002A63BA">
        <w:rPr>
          <w:rFonts w:ascii="Open Sans" w:hAnsi="Open Sans" w:cs="Open Sans"/>
          <w:noProof/>
          <w:sz w:val="22"/>
          <w:szCs w:val="22"/>
        </w:rPr>
        <w:t>Amsterdam</w:t>
      </w:r>
    </w:p>
    <w:p w14:paraId="07161FF5" w14:textId="77777777" w:rsidR="00D50F67" w:rsidRPr="002A63BA" w:rsidRDefault="00D50F67" w:rsidP="00FF3EE4">
      <w:pPr>
        <w:spacing w:line="276" w:lineRule="auto"/>
        <w:rPr>
          <w:rFonts w:ascii="Open Sans" w:hAnsi="Open Sans" w:cs="Open Sans"/>
          <w:noProof/>
        </w:rPr>
      </w:pPr>
      <w:r w:rsidRPr="002A63BA">
        <w:rPr>
          <w:rFonts w:ascii="Open Sans" w:hAnsi="Open Sans" w:cs="Open Sans"/>
          <w:noProof/>
        </w:rPr>
        <w:t xml:space="preserve">Amsterdam's smart city </w:t>
      </w:r>
      <w:r w:rsidR="00B84FBC" w:rsidRPr="002A63BA">
        <w:rPr>
          <w:rFonts w:ascii="Open Sans" w:hAnsi="Open Sans" w:cs="Open Sans"/>
          <w:noProof/>
        </w:rPr>
        <w:t>path</w:t>
      </w:r>
      <w:r w:rsidRPr="002A63BA">
        <w:rPr>
          <w:rFonts w:ascii="Open Sans" w:hAnsi="Open Sans" w:cs="Open Sans"/>
          <w:noProof/>
        </w:rPr>
        <w:t xml:space="preserve"> begins in 2009 when the city of Amsterdam launched a program called “Amsterdam Smart City” with the goal of reducing CO2 emissions by 40% by the year 2025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&lt;EndNote&gt;&lt;Cite&gt;&lt;Author&gt;Danielou&lt;/Author&gt;&lt;Year&gt;2014&lt;/Year&gt;&lt;RecNum&gt;251&lt;/RecNum&gt;&lt;DisplayText&gt;(Danielou, 2014)&lt;/DisplayText&gt;&lt;record&gt;&lt;rec-number&gt;251&lt;/rec-number&gt;&lt;foreign-keys&gt;&lt;key app="EN" db-id="9xtppttv1tfpsqedswup2p2w5tvf59x5dt5d" timestamp="1653841166"&gt;251&lt;/key&gt;&lt;/foreign-keys&gt;&lt;ref-type name="Electronic Article"&gt;43&lt;/ref-type&gt;&lt;contributors&gt;&lt;authors&gt;&lt;author&gt;Danielou, J. &lt;/author&gt;&lt;/authors&gt;&lt;/contributors&gt;&lt;titles&gt;&lt;title&gt;Smart city and sustainable city : the case of Amsterdam&lt;/title&gt;&lt;/titles&gt;&lt;dates&gt;&lt;year&gt;&lt;style face="normal" font="default" charset="238" size="100%"&gt;2014&lt;/style&gt;&lt;/year&gt;&lt;/dates&gt;&lt;publisher&gt;&lt;style face="normal" font="default" charset="238" size="100%"&gt;C&lt;/style&gt;&lt;style face="normal" font="default" size="100%"&gt;itego&lt;/style&gt;&lt;/publisher&gt;&lt;urls&gt;&lt;related-urls&gt;&lt;url&gt;https://www.citego.org/bdf_fiche-document-2429_en.html&lt;/url&gt;&lt;/related-urls&gt;&lt;/urls&gt;&lt;/record&gt;&lt;/Cite&gt;&lt;/EndNote&gt;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(Danielou, 2014)</w:t>
      </w:r>
      <w:r w:rsidR="00A3320D" w:rsidRPr="002A63BA">
        <w:rPr>
          <w:rFonts w:ascii="Open Sans" w:hAnsi="Open Sans" w:cs="Open Sans"/>
          <w:noProof/>
        </w:rPr>
        <w:fldChar w:fldCharType="end"/>
      </w:r>
      <w:r w:rsidRPr="002A63BA">
        <w:rPr>
          <w:rFonts w:ascii="Open Sans" w:hAnsi="Open Sans" w:cs="Open Sans"/>
          <w:noProof/>
        </w:rPr>
        <w:t xml:space="preserve">. The Amsterdam Smart City program is an open community platform with which Amsterdam aims to connect and bring together all of the different stakeholders so that they can more easily share their knowledge, expertise, ideas and projects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 ExcludeYear="1"&gt;&lt;Author&gt;Deskos&lt;/Author&gt;&lt;RecNum&gt;252&lt;/RecNum&gt;&lt;DisplayText&gt;(Deskos)&lt;/DisplayText&gt;&lt;record&gt;&lt;rec-number&gt;252&lt;/rec-number&gt;&lt;foreign-keys&gt;&lt;key app="EN" db-id="9xtppttv1tfpsqedswup2p2w5tvf59x5dt5d" timestamp="1653841299"&gt;252&lt;/key&gt;&lt;/foreign-keys&gt;&lt;ref-type name="Electronic Article"&gt;43&lt;/ref-type&gt;&lt;contributors&gt;&lt;authors&gt;&lt;author&gt;Deskos, N.&lt;/author&gt;&lt;/authors&gt;&lt;/contributors&gt;&lt;titles&gt;&lt;title&gt;How Amsterdam Smart City aims to shape the city of the future&lt;/title&gt;&lt;/titles&gt;&lt;dates&gt;&lt;/dates&gt;&lt;publisher&gt;Crowded&lt;/publisher&gt;&lt;urls&gt;&lt;related-urls&gt;&lt;url&gt;https://crowded.co/blog/case-studies/amsterdam-smart-city&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(Deskos)</w:t>
      </w:r>
      <w:r w:rsidR="00A3320D" w:rsidRPr="002A63BA">
        <w:rPr>
          <w:rFonts w:ascii="Open Sans" w:hAnsi="Open Sans" w:cs="Open Sans"/>
          <w:noProof/>
        </w:rPr>
        <w:fldChar w:fldCharType="end"/>
      </w:r>
      <w:r w:rsidRPr="002A63BA">
        <w:rPr>
          <w:rFonts w:ascii="Open Sans" w:hAnsi="Open Sans" w:cs="Open Sans"/>
          <w:noProof/>
        </w:rPr>
        <w:t>. In the beginning, the Amsterdam smart city project covered five areas on w</w:t>
      </w:r>
      <w:r w:rsidR="00A840F5" w:rsidRPr="002A63BA">
        <w:rPr>
          <w:rFonts w:ascii="Open Sans" w:hAnsi="Open Sans" w:cs="Open Sans"/>
          <w:noProof/>
        </w:rPr>
        <w:t xml:space="preserve">hich its incentives would focus, yet </w:t>
      </w:r>
      <w:r w:rsidRPr="002A63BA">
        <w:rPr>
          <w:rFonts w:ascii="Open Sans" w:hAnsi="Open Sans" w:cs="Open Sans"/>
          <w:noProof/>
        </w:rPr>
        <w:t xml:space="preserve">over the years it expanded the list to 8 categories. These categories are big and open data, smart society, smart mobility, smart living, smart areas, smart economy, living labs and infrastructure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&lt;EndNote&gt;&lt;Cite&gt;&lt;Author&gt;Brokaw&lt;/Author&gt;&lt;Year&gt;2016&lt;/Year&gt;&lt;RecNum&gt;254&lt;/RecNum&gt;&lt;DisplayText&gt;(Brokaw, 2016)&lt;/DisplayText&gt;&lt;record&gt;&lt;rec-number&gt;254&lt;/rec-number&gt;&lt;foreign-keys&gt;&lt;key app="EN" db-id="9xtppttv1tfpsqedswup2p2w5tvf59x5dt5d" timestamp="1653841509"&gt;254&lt;/key&gt;&lt;/foreign-keys&gt;&lt;ref-type name="Journal Article"&gt;17&lt;/ref-type&gt;&lt;contributors&gt;&lt;authors&gt;&lt;author&gt;Brokaw, Leslie&lt;/author&gt;&lt;/authors&gt;&lt;/contributors&gt;&lt;titles&gt;&lt;title&gt;Six Lessons From Amsterdam’s Smart City Initiative&lt;/title&gt;&lt;secondary-title&gt;Sloan Review&lt;/secondary-title&gt;&lt;/titles&gt;&lt;periodical&gt;&lt;full-title&gt;Sloan Review&lt;/full-title&gt;&lt;/periodical&gt;&lt;dates&gt;&lt;year&gt;2016&lt;/year&gt;&lt;/dates&gt;&lt;urls&gt;&lt;/urls&gt;&lt;/record&gt;&lt;/Cite&gt;&lt;/EndNote&gt;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(Brokaw, 2016)</w:t>
      </w:r>
      <w:r w:rsidR="00A3320D" w:rsidRPr="002A63BA">
        <w:rPr>
          <w:rFonts w:ascii="Open Sans" w:hAnsi="Open Sans" w:cs="Open Sans"/>
          <w:noProof/>
        </w:rPr>
        <w:fldChar w:fldCharType="end"/>
      </w:r>
      <w:r w:rsidRPr="002A63BA">
        <w:rPr>
          <w:rFonts w:ascii="Open Sans" w:hAnsi="Open Sans" w:cs="Open Sans"/>
          <w:noProof/>
        </w:rPr>
        <w:t xml:space="preserve">. The Amsterdam Smart City program works as a kind of catalyst, where it gathers projects and ideas and helps the better ones grow faster and bigger. Over the years it has launched </w:t>
      </w:r>
      <w:r w:rsidR="00A840F5" w:rsidRPr="002A63BA">
        <w:rPr>
          <w:rFonts w:ascii="Open Sans" w:hAnsi="Open Sans" w:cs="Open Sans"/>
          <w:noProof/>
        </w:rPr>
        <w:t>several hundred</w:t>
      </w:r>
      <w:r w:rsidRPr="002A63BA">
        <w:rPr>
          <w:rFonts w:ascii="Open Sans" w:hAnsi="Open Sans" w:cs="Open Sans"/>
          <w:noProof/>
        </w:rPr>
        <w:t xml:space="preserve"> projects of which </w:t>
      </w:r>
      <w:r w:rsidR="00A840F5" w:rsidRPr="002A63BA">
        <w:rPr>
          <w:rFonts w:ascii="Open Sans" w:hAnsi="Open Sans" w:cs="Open Sans"/>
          <w:noProof/>
        </w:rPr>
        <w:t>many of them</w:t>
      </w:r>
      <w:r w:rsidRPr="002A63BA">
        <w:rPr>
          <w:rFonts w:ascii="Open Sans" w:hAnsi="Open Sans" w:cs="Open Sans"/>
          <w:noProof/>
        </w:rPr>
        <w:t xml:space="preserve"> could theoretically be replicated and implemented in other cities around the globe. The program's success exceeded all expectations with Amsterdam winning the title of Europe’s Capital of Innovation award granted by the European Commission in 2016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 ExcludeYear="1"&gt;&lt;Author&gt;Deskos&lt;/Author&gt;&lt;RecNum&gt;252&lt;/RecNum&gt;&lt;DisplayText&gt;(Deskos)&lt;/DisplayText&gt;&lt;record&gt;&lt;rec-number&gt;252&lt;/rec-number&gt;&lt;foreign-keys&gt;&lt;key app="EN" db-id="9xtppttv1tfpsqedswup2p2w5tvf59x5dt5d" timestamp="1653841299"&gt;252&lt;/key&gt;&lt;/foreign-keys&gt;&lt;ref-type name="Electronic Article"&gt;43&lt;/ref-type&gt;&lt;contributors&gt;&lt;authors&gt;&lt;author&gt;Deskos, N.&lt;/author&gt;&lt;/authors&gt;&lt;/contributors&gt;&lt;titles&gt;&lt;title&gt;How Amsterdam Smart City aims to shape the city of the future&lt;/title&gt;&lt;/titles&gt;&lt;dates&gt;&lt;/dates&gt;&lt;publisher&gt;Crowded&lt;/publisher&gt;&lt;urls&gt;&lt;related-urls&gt;&lt;url&gt;https://crowded.co/blog/case-studies/amsterdam-smart-city&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(Deskos)</w:t>
      </w:r>
      <w:r w:rsidR="00A3320D" w:rsidRPr="002A63BA">
        <w:rPr>
          <w:rFonts w:ascii="Open Sans" w:hAnsi="Open Sans" w:cs="Open Sans"/>
          <w:noProof/>
        </w:rPr>
        <w:fldChar w:fldCharType="end"/>
      </w:r>
      <w:r w:rsidRPr="002A63BA">
        <w:rPr>
          <w:rFonts w:ascii="Open Sans" w:hAnsi="Open Sans" w:cs="Open Sans"/>
          <w:noProof/>
        </w:rPr>
        <w:t>.</w:t>
      </w:r>
    </w:p>
    <w:p w14:paraId="76D4AA2E" w14:textId="77777777" w:rsidR="00D50F67" w:rsidRPr="002A63BA" w:rsidRDefault="00D50F67" w:rsidP="00FF3EE4">
      <w:pPr>
        <w:spacing w:line="276" w:lineRule="auto"/>
        <w:rPr>
          <w:rFonts w:ascii="Open Sans" w:hAnsi="Open Sans" w:cs="Open Sans"/>
          <w:noProof/>
        </w:rPr>
      </w:pPr>
      <w:r w:rsidRPr="002A63BA">
        <w:rPr>
          <w:rFonts w:ascii="Open Sans" w:hAnsi="Open Sans" w:cs="Open Sans"/>
          <w:noProof/>
        </w:rPr>
        <w:t>One of the more famous projects started by the Amsterdam Smart City platform is th</w:t>
      </w:r>
      <w:r w:rsidR="00A840F5" w:rsidRPr="002A63BA">
        <w:rPr>
          <w:rFonts w:ascii="Open Sans" w:hAnsi="Open Sans" w:cs="Open Sans"/>
          <w:noProof/>
        </w:rPr>
        <w:t xml:space="preserve">e so-called “Climate Street” or </w:t>
      </w:r>
      <w:r w:rsidRPr="002A63BA">
        <w:rPr>
          <w:rFonts w:ascii="Open Sans" w:hAnsi="Open Sans" w:cs="Open Sans"/>
          <w:noProof/>
        </w:rPr>
        <w:t xml:space="preserve">“Klimaatstraat”. With this </w:t>
      </w:r>
      <w:r w:rsidRPr="002A63BA">
        <w:rPr>
          <w:rFonts w:ascii="Open Sans" w:hAnsi="Open Sans" w:cs="Open Sans"/>
          <w:noProof/>
        </w:rPr>
        <w:lastRenderedPageBreak/>
        <w:t>project, Amsterdam aims to be part of the very top sustainable cities by 2040. In this street 40 entrepreneurs work on different solutions and fixes on how to reduce CO2 and NO2 commissions in their street, like smart lights, smart coolin</w:t>
      </w:r>
      <w:r w:rsidR="00A840F5" w:rsidRPr="002A63BA">
        <w:rPr>
          <w:rFonts w:ascii="Open Sans" w:hAnsi="Open Sans" w:cs="Open Sans"/>
          <w:noProof/>
        </w:rPr>
        <w:t xml:space="preserve">g and </w:t>
      </w:r>
      <w:r w:rsidRPr="002A63BA">
        <w:rPr>
          <w:rFonts w:ascii="Open Sans" w:hAnsi="Open Sans" w:cs="Open Sans"/>
          <w:noProof/>
        </w:rPr>
        <w:t>heating systems</w:t>
      </w:r>
      <w:r w:rsidR="00A840F5" w:rsidRPr="002A63BA">
        <w:rPr>
          <w:rFonts w:ascii="Open Sans" w:hAnsi="Open Sans" w:cs="Open Sans"/>
          <w:noProof/>
        </w:rPr>
        <w:t xml:space="preserve"> and other solutions. T</w:t>
      </w:r>
      <w:r w:rsidRPr="002A63BA">
        <w:rPr>
          <w:rFonts w:ascii="Open Sans" w:hAnsi="Open Sans" w:cs="Open Sans"/>
          <w:noProof/>
        </w:rPr>
        <w:t xml:space="preserve">hese solutions will then later be transformed and implemented to fit cities all across the Netherlands and not just Amsterdam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&lt;EndNote&gt;&lt;Cite&gt;&lt;Author&gt;Veen&lt;/Author&gt;&lt;Year&gt;2016&lt;/Year&gt;&lt;RecNum&gt;253&lt;/RecNum&gt;&lt;DisplayText&gt;(Veen, 2016)&lt;/DisplayText&gt;&lt;record&gt;&lt;rec-number&gt;253&lt;/rec-number&gt;&lt;foreign-keys&gt;&lt;key app="EN" db-id="9xtppttv1tfpsqedswup2p2w5tvf59x5dt5d" timestamp="1653841461"&gt;253&lt;/key&gt;&lt;/foreign-keys&gt;&lt;ref-type name="Web Page"&gt;12&lt;/ref-type&gt;&lt;contributors&gt;&lt;authors&gt;&lt;author&gt;Veen, E. &lt;/author&gt;&lt;/authors&gt;&lt;/contributors&gt;&lt;titles&gt;&lt;title&gt;Climate street (Klimaatstraat). Amsterdam Smart City. &lt;/title&gt;&lt;/titles&gt;&lt;dates&gt;&lt;year&gt;&lt;style face="normal" font="default" charset="238" size="100%"&gt;2016&lt;/style&gt;&lt;/year&gt;&lt;/dates&gt;&lt;urls&gt;&lt;related-urls&gt;&lt;url&gt;https://amsterdamsmartcity.com/updates/project/climate-street&lt;/url&gt;&lt;/related-urls&gt;&lt;/urls&gt;&lt;/record&gt;&lt;/Cite&gt;&lt;/EndNote&gt;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(Veen, 2016)</w:t>
      </w:r>
      <w:r w:rsidR="00A3320D" w:rsidRPr="002A63BA">
        <w:rPr>
          <w:rFonts w:ascii="Open Sans" w:hAnsi="Open Sans" w:cs="Open Sans"/>
          <w:noProof/>
        </w:rPr>
        <w:fldChar w:fldCharType="end"/>
      </w:r>
      <w:r w:rsidRPr="002A63BA">
        <w:rPr>
          <w:rFonts w:ascii="Open Sans" w:hAnsi="Open Sans" w:cs="Open Sans"/>
          <w:noProof/>
        </w:rPr>
        <w:t>.</w:t>
      </w:r>
    </w:p>
    <w:p w14:paraId="57919F0B" w14:textId="77777777" w:rsidR="00B84FBC" w:rsidRPr="002A63BA" w:rsidRDefault="00D50F67" w:rsidP="00FF3EE4">
      <w:pPr>
        <w:spacing w:line="276" w:lineRule="auto"/>
        <w:rPr>
          <w:rFonts w:ascii="Open Sans" w:hAnsi="Open Sans" w:cs="Open Sans"/>
          <w:noProof/>
        </w:rPr>
      </w:pPr>
      <w:r w:rsidRPr="002A63BA">
        <w:rPr>
          <w:rFonts w:ascii="Open Sans" w:hAnsi="Open Sans" w:cs="Open Sans"/>
          <w:noProof/>
        </w:rPr>
        <w:t>Amsterdam has definitely solidified its position not only as a Smart City but also as a leader in terms of innovation in the field of smart cities, with the move to make all its City data open-source, meaning everyone could access it and add onto it to improve it even further, using smart meters to remotely regulate house energy consumption in real-time, the countless improvements to support public transport, electric vehicles, but also strengthen the already existing biking culture in Amsterdam and the Netherlands, new sources</w:t>
      </w:r>
      <w:r w:rsidR="00A840F5" w:rsidRPr="002A63BA">
        <w:rPr>
          <w:rFonts w:ascii="Open Sans" w:hAnsi="Open Sans" w:cs="Open Sans"/>
          <w:noProof/>
        </w:rPr>
        <w:t xml:space="preserve"> of renewable energy production and many others </w:t>
      </w:r>
      <w:r w:rsidR="00A3320D" w:rsidRPr="002A63BA">
        <w:rPr>
          <w:rFonts w:ascii="Open Sans" w:hAnsi="Open Sans" w:cs="Open Sans"/>
          <w:noProof/>
        </w:rPr>
        <w:fldChar w:fldCharType="begin">
          <w:fldData xml:space="preserve">PEVuZE5vdGU+PENpdGUgRXhjbHVkZVllYXI9IjEiPjxBdXRob3I+RGVza29zPC9BdXRob3I+PFJl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</w:fldData>
        </w:fldChar>
      </w:r>
      <w:r w:rsidR="00A3320D" w:rsidRPr="002A63BA">
        <w:rPr>
          <w:rFonts w:ascii="Open Sans" w:hAnsi="Open Sans" w:cs="Open Sans"/>
          <w:noProof/>
        </w:rPr>
        <w:instrText xml:space="preserve"> ADDIN EN.CITE </w:instrText>
      </w:r>
      <w:r w:rsidR="00A3320D" w:rsidRPr="002A63BA">
        <w:rPr>
          <w:rFonts w:ascii="Open Sans" w:hAnsi="Open Sans" w:cs="Open Sans"/>
          <w:noProof/>
        </w:rPr>
        <w:fldChar w:fldCharType="begin">
          <w:fldData xml:space="preserve">PEVuZE5vdGU+PENpdGUgRXhjbHVkZVllYXI9IjEiPjxBdXRob3I+RGVza29zPC9BdXRob3I+PFJl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</w:fldData>
        </w:fldChar>
      </w:r>
      <w:r w:rsidR="00A3320D" w:rsidRPr="002A63BA">
        <w:rPr>
          <w:rFonts w:ascii="Open Sans" w:hAnsi="Open Sans" w:cs="Open Sans"/>
          <w:noProof/>
        </w:rPr>
        <w:instrText xml:space="preserve"> ADDIN EN.CITE.DATA </w:instrText>
      </w:r>
      <w:r w:rsidR="00A3320D" w:rsidRPr="002A63BA">
        <w:rPr>
          <w:rFonts w:ascii="Open Sans" w:hAnsi="Open Sans" w:cs="Open Sans"/>
          <w:noProof/>
        </w:rPr>
      </w:r>
      <w:r w:rsidR="00A3320D" w:rsidRPr="002A63BA">
        <w:rPr>
          <w:rFonts w:ascii="Open Sans" w:hAnsi="Open Sans" w:cs="Open Sans"/>
          <w:noProof/>
        </w:rPr>
        <w:fldChar w:fldCharType="end"/>
      </w:r>
      <w:r w:rsidR="00A3320D" w:rsidRPr="002A63BA">
        <w:rPr>
          <w:rFonts w:ascii="Open Sans" w:hAnsi="Open Sans" w:cs="Open Sans"/>
          <w:noProof/>
        </w:rPr>
      </w:r>
      <w:r w:rsidR="00A3320D" w:rsidRPr="002A63BA">
        <w:rPr>
          <w:rFonts w:ascii="Open Sans" w:hAnsi="Open Sans" w:cs="Open Sans"/>
          <w:noProof/>
        </w:rPr>
        <w:fldChar w:fldCharType="separate"/>
      </w:r>
      <w:r w:rsidR="00A3320D" w:rsidRPr="002A63BA">
        <w:rPr>
          <w:rFonts w:ascii="Open Sans" w:hAnsi="Open Sans" w:cs="Open Sans"/>
          <w:noProof/>
        </w:rPr>
        <w:t>(Brokaw, 2016; Danielou, 2014; Deskos)</w:t>
      </w:r>
      <w:r w:rsidR="00A3320D" w:rsidRPr="002A63BA">
        <w:rPr>
          <w:rFonts w:ascii="Open Sans" w:hAnsi="Open Sans" w:cs="Open Sans"/>
          <w:noProof/>
        </w:rPr>
        <w:fldChar w:fldCharType="end"/>
      </w:r>
      <w:r w:rsidR="008E099D" w:rsidRPr="002A63BA">
        <w:rPr>
          <w:rFonts w:ascii="Open Sans" w:hAnsi="Open Sans" w:cs="Open Sans"/>
          <w:noProof/>
        </w:rPr>
        <w:t>.</w:t>
      </w:r>
    </w:p>
    <w:p w14:paraId="638A3CA9" w14:textId="0A3DAF8D" w:rsidR="00A07F19" w:rsidRPr="002A63BA" w:rsidRDefault="00B84FBC" w:rsidP="00FF3EE4">
      <w:pPr>
        <w:spacing w:line="276" w:lineRule="auto"/>
        <w:rPr>
          <w:rFonts w:ascii="Open Sans" w:hAnsi="Open Sans" w:cs="Open Sans"/>
          <w:noProof/>
        </w:rPr>
      </w:pPr>
      <w:r w:rsidRPr="002A63BA">
        <w:rPr>
          <w:rFonts w:ascii="Open Sans" w:hAnsi="Open Sans" w:cs="Open Sans"/>
          <w:noProof/>
        </w:rPr>
        <w:t>With the fast population growth and the numerous tourists, the city c</w:t>
      </w:r>
      <w:r w:rsidR="001B7257" w:rsidRPr="002A63BA">
        <w:rPr>
          <w:rFonts w:ascii="Open Sans" w:hAnsi="Open Sans" w:cs="Open Sans"/>
          <w:noProof/>
        </w:rPr>
        <w:t xml:space="preserve">an get very crowded and unsafe. </w:t>
      </w:r>
      <w:r w:rsidRPr="002A63BA">
        <w:rPr>
          <w:rFonts w:ascii="Open Sans" w:hAnsi="Open Sans" w:cs="Open Sans"/>
          <w:noProof/>
        </w:rPr>
        <w:t xml:space="preserve">Public Eye project is a smart city design using Artificial Intelligence and city cameras to monitor crowds in public places. It can predict the size, density and speed of crowds and send staff to intervene if a risky situation is presented. During the pandemic, The Public Eye was also used for measuring the social distancing between people. Traffic lights were positioned outside facilities to let people know when they are full, and LED stripes were used to keep people at the recommended distance in public areas. As for the privacy concerns, the developers have stated that the camera footage is not being saved nor recorded, and the system is open source, meaning that anyone has access to it and can </w:t>
      </w:r>
      <w:r w:rsidR="004D27A2" w:rsidRPr="002A63BA">
        <w:rPr>
          <w:rFonts w:ascii="Open Sans" w:hAnsi="Open Sans" w:cs="Open Sans"/>
          <w:noProof/>
        </w:rPr>
        <w:t>analyse</w:t>
      </w:r>
      <w:r w:rsidRPr="002A63BA">
        <w:rPr>
          <w:rFonts w:ascii="Open Sans" w:hAnsi="Open Sans" w:cs="Open Sans"/>
          <w:noProof/>
        </w:rPr>
        <w:t xml:space="preserve"> the algorithm behind it. The rea</w:t>
      </w:r>
      <w:r w:rsidR="004D27A2" w:rsidRPr="002A63BA">
        <w:rPr>
          <w:rFonts w:ascii="Open Sans" w:hAnsi="Open Sans" w:cs="Open Sans"/>
          <w:noProof/>
        </w:rPr>
        <w:t xml:space="preserve">son for its placement is stated </w:t>
      </w:r>
      <w:r w:rsidRPr="002A63BA">
        <w:rPr>
          <w:rFonts w:ascii="Open Sans" w:hAnsi="Open Sans" w:cs="Open Sans"/>
          <w:noProof/>
        </w:rPr>
        <w:t xml:space="preserve">under every camera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&lt;EndNote&gt;&lt;Cite&gt;&lt;Author&gt;Wray&lt;/Author&gt;&lt;Year&gt;2021&lt;/Year&gt;&lt;RecNum&gt;274&lt;/RecNum&gt;&lt;DisplayText&gt;(Wray, 2021)&lt;/DisplayText&gt;&lt;record&gt;&lt;rec-number&gt;274&lt;/rec-number&gt;&lt;foreign-keys&gt;&lt;key app="EN" db-id="9xtppttv1tfpsqedswup2p2w5tvf59x5dt5d" timestamp="1653857726"&gt;274&lt;/key&gt;&lt;/foreign-keys&gt;&lt;ref-type name="Report"&gt;27&lt;/ref-type&gt;&lt;contributors&gt;&lt;authors&gt;&lt;author&gt;&lt;style face="normal" font="default" size="100%"&gt;Wray&lt;/style&gt;&lt;style face="normal" font="default" charset="238" size="100%"&gt;, &lt;/style&gt;&lt;style face="normal" font="default" size="100%"&gt;Sarah&lt;/style&gt;&lt;/author&gt;&lt;/authors&gt;&lt;/contributors&gt;&lt;titles&gt;&lt;title&gt;Why the City of Amsterdam developed its own crowd monitoring technology&lt;/title&gt;&lt;/titles&gt;&lt;dates&gt;&lt;year&gt;&lt;style face="normal" font="default" charset="238" size="100%"&gt;2021&lt;/style&gt;&lt;/year&gt;&lt;/dates&gt;&lt;publisher&gt;&lt;style face="normal" font="default" charset="238" size="100%"&gt;Cities Today&lt;/style&gt;&lt;/publisher&gt;&lt;urls&gt;&lt;related-urls&gt;&lt;url&gt;https://cities-today.com/why-the-city-of-amsterdam-developed-its-own-crowd-monitoring-technology/&lt;/url&gt;&lt;/related-urls&gt;&lt;/urls&gt;&lt;/record&gt;&lt;/Cite&gt;&lt;/EndNote&gt;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(Wray, 2021)</w:t>
      </w:r>
      <w:r w:rsidR="00A3320D" w:rsidRPr="002A63BA">
        <w:rPr>
          <w:rFonts w:ascii="Open Sans" w:hAnsi="Open Sans" w:cs="Open Sans"/>
          <w:noProof/>
        </w:rPr>
        <w:fldChar w:fldCharType="end"/>
      </w:r>
      <w:r w:rsidRPr="002A63BA">
        <w:rPr>
          <w:rFonts w:ascii="Open Sans" w:hAnsi="Open Sans" w:cs="Open Sans"/>
          <w:noProof/>
        </w:rPr>
        <w:t>.</w:t>
      </w:r>
    </w:p>
    <w:p w14:paraId="49460479" w14:textId="77777777" w:rsidR="00AD5514" w:rsidRPr="002A63BA" w:rsidRDefault="00A07F19" w:rsidP="00FF3EE4">
      <w:pPr>
        <w:pStyle w:val="Naslov2"/>
        <w:spacing w:line="276" w:lineRule="auto"/>
        <w:rPr>
          <w:rFonts w:ascii="Open Sans" w:hAnsi="Open Sans" w:cs="Open Sans"/>
          <w:noProof/>
          <w:sz w:val="22"/>
          <w:szCs w:val="22"/>
        </w:rPr>
      </w:pPr>
      <w:r w:rsidRPr="002A63BA">
        <w:rPr>
          <w:rFonts w:ascii="Open Sans" w:hAnsi="Open Sans" w:cs="Open Sans"/>
          <w:noProof/>
          <w:sz w:val="22"/>
          <w:szCs w:val="22"/>
        </w:rPr>
        <w:t>Barcelona</w:t>
      </w:r>
    </w:p>
    <w:p w14:paraId="1E267112" w14:textId="77777777" w:rsidR="00C27011" w:rsidRPr="002A63BA" w:rsidRDefault="00C27011" w:rsidP="00FF3EE4">
      <w:pPr>
        <w:spacing w:line="276" w:lineRule="auto"/>
        <w:rPr>
          <w:rFonts w:ascii="Open Sans" w:hAnsi="Open Sans" w:cs="Open Sans"/>
          <w:noProof/>
        </w:rPr>
      </w:pPr>
      <w:r w:rsidRPr="002A63BA">
        <w:rPr>
          <w:rFonts w:ascii="Open Sans" w:hAnsi="Open Sans" w:cs="Open Sans"/>
          <w:noProof/>
        </w:rPr>
        <w:t xml:space="preserve">Back in the 1990s, Barcelona developed and presented a Smart City Strategic Plan, which was intended to make the city the leading smart city </w:t>
      </w:r>
      <w:r w:rsidRPr="002A63BA">
        <w:rPr>
          <w:rFonts w:ascii="Open Sans" w:hAnsi="Open Sans" w:cs="Open Sans"/>
          <w:noProof/>
        </w:rPr>
        <w:lastRenderedPageBreak/>
        <w:t xml:space="preserve">in Europe. Barcelona was suffering from enormous infrastructural problems due to the high level of urbanization, dense construction in the city and, at the same time, weak urban planning. Additionally, there have been multiple economic crises in the region during that time and Barcelona was preparing to host the Olympic Games in 1992. Therefore, a city's strategic plan and smart city initiatives were more than necessary. It was intended to address and improve the previously poor planning in terms of housing, environmental issues, water, transportation and energy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&lt;EndNote&gt;&lt;Cite&gt;&lt;Author&gt;Bakıcı&lt;/Author&gt;&lt;Year&gt;2013&lt;/Year&gt;&lt;RecNum&gt;258&lt;/RecNum&gt;&lt;DisplayText&gt;(Bakıcı, Almirall, &amp;amp; Wareham, 2013)&lt;/DisplayText&gt;&lt;record&gt;&lt;rec-number&gt;258&lt;/rec-number&gt;&lt;foreign-keys&gt;&lt;key app="EN" db-id="9xtppttv1tfpsqedswup2p2w5tvf59x5dt5d" timestamp="1653849013"&gt;258&lt;/key&gt;&lt;/foreign-keys&gt;&lt;ref-type name="Journal Article"&gt;17&lt;/ref-type&gt;&lt;contributors&gt;&lt;authors&gt;&lt;author&gt;Bakıcı, Tuba&lt;/author&gt;&lt;author&gt;Almirall, Esteve&lt;/author&gt;&lt;author&gt;Wareham, Jonathan&lt;/author&gt;&lt;/authors&gt;&lt;/contributors&gt;&lt;titles&gt;&lt;title&gt;A smart city initiative: the case of Barcelona&lt;/title&gt;&lt;secondary-title&gt;Journal of the knowledge economy&lt;/secondary-title&gt;&lt;/titles&gt;&lt;periodical&gt;&lt;full-title&gt;Journal of the knowledge economy&lt;/full-title&gt;&lt;/periodical&gt;&lt;pages&gt;135-148&lt;/pages&gt;&lt;volume&gt;4&lt;/volume&gt;&lt;number&gt;2&lt;/number&gt;&lt;dates&gt;&lt;year&gt;2013&lt;/year&gt;&lt;/dates&gt;&lt;isbn&gt;1868-7873&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(Bakıcı, Almirall, &amp; Wareham, 2013)</w:t>
      </w:r>
      <w:r w:rsidR="00A3320D" w:rsidRPr="002A63BA">
        <w:rPr>
          <w:rFonts w:ascii="Open Sans" w:hAnsi="Open Sans" w:cs="Open Sans"/>
          <w:noProof/>
        </w:rPr>
        <w:fldChar w:fldCharType="end"/>
      </w:r>
      <w:r w:rsidRPr="002A63BA">
        <w:rPr>
          <w:rFonts w:ascii="Open Sans" w:hAnsi="Open Sans" w:cs="Open Sans"/>
          <w:noProof/>
        </w:rPr>
        <w:t xml:space="preserve">. </w:t>
      </w:r>
    </w:p>
    <w:p w14:paraId="43CC9495" w14:textId="77777777" w:rsidR="00136179" w:rsidRPr="002A63BA" w:rsidRDefault="00A07F19" w:rsidP="00FF3EE4">
      <w:pPr>
        <w:spacing w:line="276" w:lineRule="auto"/>
        <w:rPr>
          <w:rFonts w:ascii="Open Sans" w:hAnsi="Open Sans" w:cs="Open Sans"/>
          <w:noProof/>
        </w:rPr>
      </w:pPr>
      <w:r w:rsidRPr="002A63BA">
        <w:rPr>
          <w:rFonts w:ascii="Open Sans" w:hAnsi="Open Sans" w:cs="Open Sans"/>
          <w:noProof/>
        </w:rPr>
        <w:t xml:space="preserve">Like many other smart cities around the world, Barcelona invested heavily in ICT infrastructure and IoT networks, especially in the early 2010s. Through the new technological infrastructure Barcelona created citywide sensor networks that collect data on energy, environment, transport and so on, to provide instant feedback e.g. on air quality, waste management, noise, public transport options, parking spots etc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&lt;EndNote&gt;&lt;Cite&gt;&lt;Author&gt;Bibri&lt;/Author&gt;&lt;Year&gt;2020&lt;/Year&gt;&lt;RecNum&gt;255&lt;/RecNum&gt;&lt;DisplayText&gt;(Bibri &amp;amp; Krogstie, 2020)&lt;/DisplayText&gt;&lt;record&gt;&lt;rec-number&gt;255&lt;/rec-number&gt;&lt;foreign-keys&gt;&lt;key app="EN" db-id="9xtppttv1tfpsqedswup2p2w5tvf59x5dt5d" timestamp="1653842218"&gt;255&lt;/key&gt;&lt;/foreign-keys&gt;&lt;ref-type name="Journal Article"&gt;17&lt;/ref-type&gt;&lt;contributors&gt;&lt;authors&gt;&lt;author&gt;Bibri, Simon Elias&lt;/author&gt;&lt;author&gt;Krogstie, John&lt;/author&gt;&lt;/authors&gt;&lt;/contributors&gt;&lt;titles&gt;&lt;title&gt;The emerging data–driven Smart City and its innovative applied solutions for sustainability: The cases of London and Barcelona&lt;/title&gt;&lt;secondary-title&gt;Energy Informatics&lt;/secondary-title&gt;&lt;/titles&gt;&lt;periodical&gt;&lt;full-title&gt;Energy Informatics&lt;/full-title&gt;&lt;/periodical&gt;&lt;pages&gt;1-42&lt;/pages&gt;&lt;volume&gt;3&lt;/volume&gt;&lt;number&gt;1&lt;/number&gt;&lt;dates&gt;&lt;year&gt;2020&lt;/year&gt;&lt;/dates&gt;&lt;isbn&gt;2520-8942&lt;/isbn&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(Bibri &amp; Krogstie, 2020)</w:t>
      </w:r>
      <w:r w:rsidR="00A3320D" w:rsidRPr="002A63BA">
        <w:rPr>
          <w:rFonts w:ascii="Open Sans" w:hAnsi="Open Sans" w:cs="Open Sans"/>
          <w:noProof/>
        </w:rPr>
        <w:fldChar w:fldCharType="end"/>
      </w:r>
      <w:r w:rsidRPr="002A63BA">
        <w:rPr>
          <w:rFonts w:ascii="Open Sans" w:hAnsi="Open Sans" w:cs="Open Sans"/>
          <w:noProof/>
        </w:rPr>
        <w:t>.</w:t>
      </w:r>
      <w:r w:rsidR="00136179" w:rsidRPr="002A63BA">
        <w:rPr>
          <w:rFonts w:ascii="Open Sans" w:hAnsi="Open Sans" w:cs="Open Sans"/>
          <w:noProof/>
        </w:rPr>
        <w:t xml:space="preserve"> The aim of the democratization of Barcelona’s ICT infrastructure is to provide opportunities for citizens to test and try out the technologies and to get feedback on what is useful and what might be a failure for urban development. When citizens are more technologically literate they better understand how and when technologies can be useful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&lt;EndNote&gt;&lt;Cite&gt;&lt;Author&gt;Urban Hub&lt;/Author&gt;&lt;Year&gt;2018&lt;/Year&gt;&lt;RecNum&gt;257&lt;/RecNum&gt;&lt;DisplayText&gt;(Urban Hub, 2018)&lt;/DisplayText&gt;&lt;record&gt;&lt;rec-number&gt;257&lt;/rec-number&gt;&lt;foreign-keys&gt;&lt;key app="EN" db-id="9xtppttv1tfpsqedswup2p2w5tvf59x5dt5d" timestamp="1653842565"&gt;257&lt;/key&gt;&lt;/foreign-keys&gt;&lt;ref-type name="Electronic Article"&gt;43&lt;/ref-type&gt;&lt;contributors&gt;&lt;authors&gt;&lt;author&gt;&lt;style face="normal" font="default" charset="238" size="100%"&gt;Urban Hub,&lt;/style&gt;&lt;/author&gt;&lt;/authors&gt;&lt;/contributors&gt;&lt;titles&gt;&lt;title&gt;Smart city 3.0 – Ask Barcelona about the next generation of smart cities&lt;/title&gt;&lt;/titles&gt;&lt;dates&gt;&lt;year&gt;&lt;style face="normal" font="default" charset="238" size="100%"&gt;2018&lt;/style&gt;&lt;/year&gt;&lt;/dates&gt;&lt;urls&gt;&lt;related-urls&gt;&lt;url&gt;https://www.urban-hub.com/cities/smart-city-3-0-ask-barcelona-about-the-next-generation-of-smart-cities/&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(Urban Hub, 2018)</w:t>
      </w:r>
      <w:r w:rsidR="00A3320D" w:rsidRPr="002A63BA">
        <w:rPr>
          <w:rFonts w:ascii="Open Sans" w:hAnsi="Open Sans" w:cs="Open Sans"/>
          <w:noProof/>
        </w:rPr>
        <w:fldChar w:fldCharType="end"/>
      </w:r>
      <w:r w:rsidR="00136179" w:rsidRPr="002A63BA">
        <w:rPr>
          <w:rFonts w:ascii="Open Sans" w:hAnsi="Open Sans" w:cs="Open Sans"/>
          <w:noProof/>
        </w:rPr>
        <w:t>.</w:t>
      </w:r>
    </w:p>
    <w:p w14:paraId="1A6CF831" w14:textId="77777777" w:rsidR="00A07F19" w:rsidRPr="002A63BA" w:rsidRDefault="00A07F19" w:rsidP="00FF3EE4">
      <w:pPr>
        <w:spacing w:line="276" w:lineRule="auto"/>
        <w:rPr>
          <w:rFonts w:ascii="Open Sans" w:hAnsi="Open Sans" w:cs="Open Sans"/>
          <w:noProof/>
        </w:rPr>
      </w:pPr>
      <w:r w:rsidRPr="002A63BA">
        <w:rPr>
          <w:rFonts w:ascii="Open Sans" w:hAnsi="Open Sans" w:cs="Open Sans"/>
          <w:noProof/>
        </w:rPr>
        <w:t xml:space="preserve">But what makes Barcelona’s Smart City initiatives </w:t>
      </w:r>
      <w:r w:rsidR="000B0DB3" w:rsidRPr="002A63BA">
        <w:rPr>
          <w:rFonts w:ascii="Open Sans" w:hAnsi="Open Sans" w:cs="Open Sans"/>
          <w:noProof/>
        </w:rPr>
        <w:t>distinct</w:t>
      </w:r>
      <w:r w:rsidRPr="002A63BA">
        <w:rPr>
          <w:rFonts w:ascii="Open Sans" w:hAnsi="Open Sans" w:cs="Open Sans"/>
          <w:noProof/>
        </w:rPr>
        <w:t xml:space="preserve"> is the so-called Smart City 3.0 approach which is mainly about the strong inclusion and participation of its residents. In 2015 the city of Barcelona re-focused from a top-down style towards a more citizen-centric approach. In doing so, Barcelona has taken different actions. First, a new data infrastructure has been developed, consisting of three components: Sentilo, an open-source-based data collection and sensor platform, CityOS, another open-source platform for </w:t>
      </w:r>
      <w:r w:rsidR="00C27011" w:rsidRPr="002A63BA">
        <w:rPr>
          <w:rFonts w:ascii="Open Sans" w:hAnsi="Open Sans" w:cs="Open Sans"/>
          <w:noProof/>
        </w:rPr>
        <w:t>analysing</w:t>
      </w:r>
      <w:r w:rsidRPr="002A63BA">
        <w:rPr>
          <w:rFonts w:ascii="Open Sans" w:hAnsi="Open Sans" w:cs="Open Sans"/>
          <w:noProof/>
        </w:rPr>
        <w:t xml:space="preserve"> data, and various service apps at the UI level that facilitate access to all data. Second, this integrated control serves to democratize data. For example, the new platform and all the data it contains belong to the city. It can be used by citizens, private companies and other interested parties; however, the city and residents remain the true owner</w:t>
      </w:r>
      <w:r w:rsidR="00136179" w:rsidRPr="002A63BA">
        <w:rPr>
          <w:rFonts w:ascii="Open Sans" w:hAnsi="Open Sans" w:cs="Open Sans"/>
          <w:noProof/>
        </w:rPr>
        <w:t xml:space="preserve">s and decide on access and privacy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&lt;EndNote&gt;&lt;Cite&gt;&lt;Author&gt;Smith&lt;/Author&gt;&lt;Year&gt;2018&lt;/Year&gt;&lt;RecNum&gt;256&lt;/RecNum&gt;&lt;DisplayText&gt;(Smith, 2018)&lt;/DisplayText&gt;&lt;record&gt;&lt;rec-number&gt;256&lt;/rec-number&gt;&lt;foreign-keys&gt;&lt;key app="EN" db-id="9xtppttv1tfpsqedswup2p2w5tvf59x5dt5d" timestamp="1653842347"&gt;256&lt;/key&gt;&lt;/foreign-keys&gt;&lt;ref-type name="Electronic Article"&gt;43&lt;/ref-type&gt;&lt;contributors&gt;&lt;authors&gt;&lt;author&gt;&lt;style face="normal" font="default" size="100%"&gt;Smith, L&lt;/style&gt;&lt;style face="normal" font="default" charset="238" size="100%"&gt;isa&lt;/style&gt;&lt;/author&gt;&lt;/authors&gt;&lt;/contributors&gt;&lt;titles&gt;&lt;title&gt;Smart City Portrait: Barcelona&lt;/title&gt;&lt;/titles&gt;&lt;dates&gt;&lt;year&gt;&lt;style face="normal" font="default" charset="238" size="100%"&gt;2018&lt;/style&gt;&lt;/year&gt;&lt;/dates&gt;&lt;urls&gt;&lt;related-urls&gt;&lt;url&gt;https://hub.beesmart.city/city-portraits/smart-city-portrait-barcelona&lt;/url&gt;&lt;/related-urls&gt;&lt;/urls&gt;&lt;/record&gt;&lt;/Cite&gt;&lt;/EndNote&gt;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(Smith, 2018)</w:t>
      </w:r>
      <w:r w:rsidR="00A3320D" w:rsidRPr="002A63BA">
        <w:rPr>
          <w:rFonts w:ascii="Open Sans" w:hAnsi="Open Sans" w:cs="Open Sans"/>
          <w:noProof/>
        </w:rPr>
        <w:fldChar w:fldCharType="end"/>
      </w:r>
      <w:r w:rsidRPr="002A63BA">
        <w:rPr>
          <w:rFonts w:ascii="Open Sans" w:hAnsi="Open Sans" w:cs="Open Sans"/>
          <w:noProof/>
        </w:rPr>
        <w:t xml:space="preserve">. </w:t>
      </w:r>
    </w:p>
    <w:p w14:paraId="617A1E08" w14:textId="77777777" w:rsidR="00136179" w:rsidRPr="002A63BA" w:rsidRDefault="00136179" w:rsidP="00FF3EE4">
      <w:pPr>
        <w:spacing w:line="276" w:lineRule="auto"/>
        <w:rPr>
          <w:rFonts w:ascii="Open Sans" w:hAnsi="Open Sans" w:cs="Open Sans"/>
          <w:noProof/>
        </w:rPr>
      </w:pPr>
      <w:r w:rsidRPr="002A63BA">
        <w:rPr>
          <w:rFonts w:ascii="Open Sans" w:hAnsi="Open Sans" w:cs="Open Sans"/>
          <w:noProof/>
        </w:rPr>
        <w:lastRenderedPageBreak/>
        <w:t xml:space="preserve">Thus it seems that Barcelona’s smart city approach is really citizen-centric already in its core. Instead of just transforming the city in a top-down manner, the government aims to integrate its inhabitants into the transformation process and simultaneously prepares them for the challenges and opportunities of the 21st century, thereby acknowledging that a smart city can only develop out of both directions: top-down and bottom-up, and that it is not viable without its smart citizens. Social inclusion is thus the focus of Barcelona’s approach </w:t>
      </w:r>
      <w:r w:rsidR="00A3320D" w:rsidRPr="002A63BA">
        <w:rPr>
          <w:rFonts w:ascii="Open Sans" w:hAnsi="Open Sans" w:cs="Open Sans"/>
          <w:noProof/>
        </w:rPr>
        <w:fldChar w:fldCharType="begin"/>
      </w:r>
      <w:r w:rsidR="00A3320D" w:rsidRPr="002A63BA">
        <w:rPr>
          <w:rFonts w:ascii="Open Sans" w:hAnsi="Open Sans" w:cs="Open Sans"/>
          <w:noProof/>
        </w:rPr>
        <w:instrText xml:space="preserve"> ADDIN EN.CITE &lt;EndNote&gt;&lt;Cite&gt;&lt;Author&gt;Noori&lt;/Author&gt;&lt;Year&gt;2020&lt;/Year&gt;&lt;RecNum&gt;263&lt;/RecNum&gt;&lt;DisplayText&gt;(Noori, Hoppe, &amp;amp; de Jong, 2020)&lt;/DisplayText&gt;&lt;record&gt;&lt;rec-number&gt;263&lt;/rec-number&gt;&lt;foreign-keys&gt;&lt;key app="EN" db-id="9xtppttv1tfpsqedswup2p2w5tvf59x5dt5d" timestamp="1653853898"&gt;263&lt;/key&gt;&lt;/foreign-keys&gt;&lt;ref-type name="Journal Article"&gt;17&lt;/ref-type&gt;&lt;contributors&gt;&lt;authors&gt;&lt;author&gt;Noori, Negar&lt;/author&gt;&lt;author&gt;Hoppe, Thomas&lt;/author&gt;&lt;author&gt;de Jong, Martin&lt;/author&gt;&lt;/authors&gt;&lt;/contributors&gt;&lt;titles&gt;&lt;title&gt;Classifying pathways for Smart City development: comparing design, governance and implementation in Amsterdam, Barcelona, Dubai, and Abu Dhabi&lt;/title&gt;&lt;secondary-title&gt;Sustainability&lt;/secondary-title&gt;&lt;/titles&gt;&lt;periodical&gt;&lt;full-title&gt;Sustainability&lt;/full-title&gt;&lt;/periodical&gt;&lt;pages&gt;4030&lt;/pages&gt;&lt;volume&gt;12&lt;/volume&gt;&lt;number&gt;10&lt;/number&gt;&lt;dates&gt;&lt;year&gt;2020&lt;/year&gt;&lt;/dates&gt;&lt;urls&gt;&lt;/urls&gt;&lt;/record&gt;&lt;/Cite&gt;&lt;/EndNote&gt;</w:instrText>
      </w:r>
      <w:r w:rsidR="00A3320D" w:rsidRPr="002A63BA">
        <w:rPr>
          <w:rFonts w:ascii="Open Sans" w:hAnsi="Open Sans" w:cs="Open Sans"/>
          <w:noProof/>
        </w:rPr>
        <w:fldChar w:fldCharType="separate"/>
      </w:r>
      <w:r w:rsidR="00A3320D" w:rsidRPr="002A63BA">
        <w:rPr>
          <w:rFonts w:ascii="Open Sans" w:hAnsi="Open Sans" w:cs="Open Sans"/>
          <w:noProof/>
        </w:rPr>
        <w:t>(Noori, Hoppe, &amp; de Jong, 2020)</w:t>
      </w:r>
      <w:r w:rsidR="00A3320D" w:rsidRPr="002A63BA">
        <w:rPr>
          <w:rFonts w:ascii="Open Sans" w:hAnsi="Open Sans" w:cs="Open Sans"/>
          <w:noProof/>
        </w:rPr>
        <w:fldChar w:fldCharType="end"/>
      </w:r>
      <w:r w:rsidRPr="002A63BA">
        <w:rPr>
          <w:rFonts w:ascii="Open Sans" w:hAnsi="Open Sans" w:cs="Open Sans"/>
          <w:noProof/>
        </w:rPr>
        <w:t>.</w:t>
      </w:r>
    </w:p>
    <w:p w14:paraId="187DB647" w14:textId="7B8473B9" w:rsidR="005B1B73" w:rsidRPr="002A63BA" w:rsidRDefault="000B0DB3" w:rsidP="00FF3EE4">
      <w:pPr>
        <w:spacing w:line="276" w:lineRule="auto"/>
        <w:rPr>
          <w:rFonts w:ascii="Open Sans" w:hAnsi="Open Sans" w:cs="Open Sans"/>
          <w:lang w:eastAsia="en-GB"/>
        </w:rPr>
      </w:pPr>
      <w:r w:rsidRPr="002A63BA">
        <w:rPr>
          <w:rFonts w:ascii="Open Sans" w:hAnsi="Open Sans" w:cs="Open Sans"/>
          <w:lang w:eastAsia="en-GB"/>
        </w:rPr>
        <w:t xml:space="preserve">There is a smart waste collection system in place in Barcelona. The system works with the help of the special ultrasonic sensors which are placed within and show to which degree the bins are full. Consequently, sanitation workers can plan their routes by the sensors; they can empty the full bins first and the ones that are on the way. This reduces time spent on collecting the waste, which additionally decreases the fuel costs. Some bins are also directly connected to the underground repositories; enabling the waste is being vacuumed out by underground pipes and incinerated. The energy that comes from this waste incineration is further used for the city’s heating system </w:t>
      </w:r>
      <w:r w:rsidR="00A3320D" w:rsidRPr="002A63BA">
        <w:rPr>
          <w:rFonts w:ascii="Open Sans" w:hAnsi="Open Sans" w:cs="Open Sans"/>
          <w:lang w:eastAsia="en-GB"/>
        </w:rPr>
        <w:fldChar w:fldCharType="begin"/>
      </w:r>
      <w:r w:rsidR="00A3320D" w:rsidRPr="002A63BA">
        <w:rPr>
          <w:rFonts w:ascii="Open Sans" w:hAnsi="Open Sans" w:cs="Open Sans"/>
          <w:lang w:eastAsia="en-GB"/>
        </w:rPr>
        <w:instrText xml:space="preserve"> ADDIN EN.CITE &lt;EndNote&gt;&lt;Cite&gt;&lt;Author&gt;Bibri&lt;/Author&gt;&lt;Year&gt;2020&lt;/Year&gt;&lt;RecNum&gt;255&lt;/RecNum&gt;&lt;DisplayText&gt;(Bibri &amp;amp; Krogstie, 2020)&lt;/DisplayText&gt;&lt;record&gt;&lt;rec-number&gt;255&lt;/rec-number&gt;&lt;foreign-keys&gt;&lt;key app="EN" db-id="9xtppttv1tfpsqedswup2p2w5tvf59x5dt5d" timestamp="1653842218"&gt;255&lt;/key&gt;&lt;/foreign-keys&gt;&lt;ref-type name="Journal Article"&gt;17&lt;/ref-type&gt;&lt;contributors&gt;&lt;authors&gt;&lt;author&gt;Bibri, Simon Elias&lt;/author&gt;&lt;author&gt;Krogstie, John&lt;/author&gt;&lt;/authors&gt;&lt;/contributors&gt;&lt;titles&gt;&lt;title&gt;The emerging data–driven Smart City and its innovative applied solutions for sustainability: The cases of London and Barcelona&lt;/title&gt;&lt;secondary-title&gt;Energy Informatics&lt;/secondary-title&gt;&lt;/titles&gt;&lt;periodical&gt;&lt;full-title&gt;Energy Informatics&lt;/full-title&gt;&lt;/periodical&gt;&lt;pages&gt;1-42&lt;/pages&gt;&lt;volume&gt;3&lt;/volume&gt;&lt;number&gt;1&lt;/number&gt;&lt;dates&gt;&lt;year&gt;2020&lt;/year&gt;&lt;/dates&gt;&lt;isbn&gt;2520-8942&lt;/isbn&gt;&lt;urls&gt;&lt;/urls&gt;&lt;/record&gt;&lt;/Cite&gt;&lt;/EndNote&gt;</w:instrText>
      </w:r>
      <w:r w:rsidR="00A3320D" w:rsidRPr="002A63BA">
        <w:rPr>
          <w:rFonts w:ascii="Open Sans" w:hAnsi="Open Sans" w:cs="Open Sans"/>
          <w:lang w:eastAsia="en-GB"/>
        </w:rPr>
        <w:fldChar w:fldCharType="separate"/>
      </w:r>
      <w:r w:rsidR="00A3320D" w:rsidRPr="002A63BA">
        <w:rPr>
          <w:rFonts w:ascii="Open Sans" w:hAnsi="Open Sans" w:cs="Open Sans"/>
          <w:noProof/>
          <w:lang w:eastAsia="en-GB"/>
        </w:rPr>
        <w:t>(Bibri &amp; Krogstie, 2020)</w:t>
      </w:r>
      <w:r w:rsidR="00A3320D" w:rsidRPr="002A63BA">
        <w:rPr>
          <w:rFonts w:ascii="Open Sans" w:hAnsi="Open Sans" w:cs="Open Sans"/>
          <w:lang w:eastAsia="en-GB"/>
        </w:rPr>
        <w:fldChar w:fldCharType="end"/>
      </w:r>
      <w:r w:rsidRPr="002A63BA">
        <w:rPr>
          <w:rFonts w:ascii="Open Sans" w:hAnsi="Open Sans" w:cs="Open Sans"/>
          <w:lang w:eastAsia="en-GB"/>
        </w:rPr>
        <w:t xml:space="preserve">. </w:t>
      </w:r>
    </w:p>
    <w:p w14:paraId="29C675CB" w14:textId="77777777" w:rsidR="00A4183B" w:rsidRPr="002A63BA" w:rsidRDefault="00A4183B" w:rsidP="00FF3EE4">
      <w:pPr>
        <w:pStyle w:val="Naslov2"/>
        <w:spacing w:line="276" w:lineRule="auto"/>
        <w:rPr>
          <w:rFonts w:ascii="Open Sans" w:hAnsi="Open Sans" w:cs="Open Sans"/>
          <w:noProof/>
          <w:sz w:val="22"/>
          <w:szCs w:val="22"/>
        </w:rPr>
      </w:pPr>
      <w:r w:rsidRPr="002A63BA">
        <w:rPr>
          <w:rFonts w:ascii="Open Sans" w:hAnsi="Open Sans" w:cs="Open Sans"/>
          <w:noProof/>
          <w:sz w:val="22"/>
          <w:szCs w:val="22"/>
        </w:rPr>
        <w:t>Helsinki</w:t>
      </w:r>
    </w:p>
    <w:p w14:paraId="3DA1C8D5" w14:textId="77777777" w:rsidR="001D7CAB" w:rsidRPr="002A63BA" w:rsidRDefault="00B0048F" w:rsidP="00FF3EE4">
      <w:pPr>
        <w:spacing w:line="276" w:lineRule="auto"/>
        <w:rPr>
          <w:rFonts w:ascii="Open Sans" w:hAnsi="Open Sans" w:cs="Open Sans"/>
          <w:lang w:val="en-US"/>
        </w:rPr>
      </w:pPr>
      <w:r w:rsidRPr="002A63BA">
        <w:rPr>
          <w:rFonts w:ascii="Open Sans" w:hAnsi="Open Sans" w:cs="Open Sans"/>
          <w:lang w:val="en-US"/>
        </w:rPr>
        <w:t xml:space="preserve">Helsinki over the years has shown commitment to fighting climate change through building smart energy solutions. The smart buildings system has been a good example of a collaboration between cities and businesses toward creating a more functional and climate-neutral environment for citizens. Smart buildings systems can recognize where energy is wasted and how it can be saved, which noticeably increases the energy efficiency of buildings. </w:t>
      </w:r>
      <w:r w:rsidR="001D7CAB" w:rsidRPr="002A63BA">
        <w:rPr>
          <w:rFonts w:ascii="Open Sans" w:hAnsi="Open Sans" w:cs="Open Sans"/>
          <w:lang w:val="en-US"/>
        </w:rPr>
        <w:t>The city is</w:t>
      </w:r>
      <w:r w:rsidRPr="002A63BA">
        <w:rPr>
          <w:rFonts w:ascii="Open Sans" w:hAnsi="Open Sans" w:cs="Open Sans"/>
          <w:lang w:val="en-US"/>
        </w:rPr>
        <w:t xml:space="preserve"> promoting its strategy to local businesses and building a supportive environment that can enhance collaboration. Opening data to public use must be seen as a benefit for all stakeholders, and not as a governmental control tool. </w:t>
      </w:r>
      <w:r w:rsidR="001D7CAB" w:rsidRPr="002A63BA">
        <w:rPr>
          <w:rFonts w:ascii="Open Sans" w:hAnsi="Open Sans" w:cs="Open Sans"/>
          <w:lang w:val="en-US"/>
        </w:rPr>
        <w:t xml:space="preserve">Thus, security related issues must be thoroughly considered. </w:t>
      </w:r>
      <w:r w:rsidRPr="002A63BA">
        <w:rPr>
          <w:rFonts w:ascii="Open Sans" w:hAnsi="Open Sans" w:cs="Open Sans"/>
          <w:lang w:val="en-US"/>
        </w:rPr>
        <w:t xml:space="preserve">The city </w:t>
      </w:r>
      <w:r w:rsidR="001D7CAB" w:rsidRPr="002A63BA">
        <w:rPr>
          <w:rFonts w:ascii="Open Sans" w:hAnsi="Open Sans" w:cs="Open Sans"/>
          <w:lang w:val="en-US"/>
        </w:rPr>
        <w:t xml:space="preserve">thus supports </w:t>
      </w:r>
      <w:r w:rsidRPr="002A63BA">
        <w:rPr>
          <w:rFonts w:ascii="Open Sans" w:hAnsi="Open Sans" w:cs="Open Sans"/>
          <w:lang w:val="en-US"/>
        </w:rPr>
        <w:t xml:space="preserve">the goal that all smart solutions must be developed in respect to security and privacy concerns </w:t>
      </w:r>
      <w:r w:rsidRPr="002A63BA">
        <w:rPr>
          <w:rFonts w:ascii="Open Sans" w:hAnsi="Open Sans" w:cs="Open Sans"/>
          <w:lang w:val="en-US"/>
        </w:rPr>
        <w:lastRenderedPageBreak/>
        <w:t xml:space="preserve">of all stakeholders in the city. It is achieved through many consultations of city lawyers with different city organizations </w:t>
      </w:r>
      <w:r w:rsidR="00A3320D" w:rsidRPr="002A63BA">
        <w:rPr>
          <w:rFonts w:ascii="Open Sans" w:hAnsi="Open Sans" w:cs="Open Sans"/>
          <w:lang w:val="en-US"/>
        </w:rPr>
        <w:fldChar w:fldCharType="begin"/>
      </w:r>
      <w:r w:rsidR="00A3320D" w:rsidRPr="002A63BA">
        <w:rPr>
          <w:rFonts w:ascii="Open Sans" w:hAnsi="Open Sans" w:cs="Open Sans"/>
          <w:lang w:val="en-US"/>
        </w:rPr>
        <w:instrText xml:space="preserve"> ADDIN EN.CITE &lt;EndNote&gt;&lt;Cite&gt;&lt;Author&gt;Hämäläinen&lt;/Author&gt;&lt;Year&gt;2020&lt;/Year&gt;&lt;RecNum&gt;277&lt;/RecNum&gt;&lt;DisplayText&gt;(Hämäläinen, 2020)&lt;/DisplayText&gt;&lt;record&gt;&lt;rec-number&gt;277&lt;/rec-number&gt;&lt;foreign-keys&gt;&lt;key app="EN" db-id="9xtppttv1tfpsqedswup2p2w5tvf59x5dt5d" timestamp="1653900903"&gt;277&lt;/key&gt;&lt;/foreign-keys&gt;&lt;ref-type name="Book Section"&gt;5&lt;/ref-type&gt;&lt;contributors&gt;&lt;authors&gt;&lt;author&gt;Hämäläinen, Mervi&lt;/author&gt;&lt;/authors&gt;&lt;/contributors&gt;&lt;titles&gt;&lt;title&gt;A framework for a Smart City design: digital transformation in the Helsinki Smart City&lt;/title&gt;&lt;secondary-title&gt;Entrepreneurship and the Community&lt;/secondary-title&gt;&lt;/titles&gt;&lt;pages&gt;63-86&lt;/pages&gt;&lt;dates&gt;&lt;year&gt;2020&lt;/year&gt;&lt;/dates&gt;&lt;publisher&gt;Springer&lt;/publisher&gt;&lt;urls&gt;&lt;/urls&gt;&lt;/record&gt;&lt;/Cite&gt;&lt;/EndNote&gt;</w:instrText>
      </w:r>
      <w:r w:rsidR="00A3320D" w:rsidRPr="002A63BA">
        <w:rPr>
          <w:rFonts w:ascii="Open Sans" w:hAnsi="Open Sans" w:cs="Open Sans"/>
          <w:lang w:val="en-US"/>
        </w:rPr>
        <w:fldChar w:fldCharType="separate"/>
      </w:r>
      <w:r w:rsidR="00A3320D" w:rsidRPr="002A63BA">
        <w:rPr>
          <w:rFonts w:ascii="Open Sans" w:hAnsi="Open Sans" w:cs="Open Sans"/>
          <w:noProof/>
          <w:lang w:val="en-US"/>
        </w:rPr>
        <w:t>(Hämäläinen, 2020)</w:t>
      </w:r>
      <w:r w:rsidR="00A3320D" w:rsidRPr="002A63BA">
        <w:rPr>
          <w:rFonts w:ascii="Open Sans" w:hAnsi="Open Sans" w:cs="Open Sans"/>
          <w:lang w:val="en-US"/>
        </w:rPr>
        <w:fldChar w:fldCharType="end"/>
      </w:r>
      <w:r w:rsidR="001D7CAB" w:rsidRPr="002A63BA">
        <w:rPr>
          <w:rFonts w:ascii="Open Sans" w:hAnsi="Open Sans" w:cs="Open Sans"/>
          <w:lang w:val="en-US"/>
        </w:rPr>
        <w:t>.</w:t>
      </w:r>
    </w:p>
    <w:p w14:paraId="02A2764A" w14:textId="77777777" w:rsidR="00057A5F" w:rsidRPr="002A63BA" w:rsidRDefault="001D7CAB" w:rsidP="00FF3EE4">
      <w:pPr>
        <w:spacing w:line="276" w:lineRule="auto"/>
        <w:rPr>
          <w:rFonts w:ascii="Open Sans" w:hAnsi="Open Sans" w:cs="Open Sans"/>
          <w:spacing w:val="1"/>
          <w:lang w:val="en-US"/>
        </w:rPr>
      </w:pPr>
      <w:r w:rsidRPr="002A63BA">
        <w:rPr>
          <w:rFonts w:ascii="Open Sans" w:hAnsi="Open Sans" w:cs="Open Sans"/>
          <w:spacing w:val="1"/>
          <w:lang w:val="en-US"/>
        </w:rPr>
        <w:t>T</w:t>
      </w:r>
      <w:r w:rsidR="00924DA9" w:rsidRPr="002A63BA">
        <w:rPr>
          <w:rFonts w:ascii="Open Sans" w:hAnsi="Open Sans" w:cs="Open Sans"/>
          <w:spacing w:val="1"/>
          <w:lang w:val="en-US"/>
        </w:rPr>
        <w:t xml:space="preserve">he Helsinki model includes </w:t>
      </w:r>
      <w:r w:rsidRPr="002A63BA">
        <w:rPr>
          <w:rFonts w:ascii="Open Sans" w:hAnsi="Open Sans" w:cs="Open Sans"/>
          <w:spacing w:val="1"/>
          <w:lang w:val="en-US"/>
        </w:rPr>
        <w:t>open data, int</w:t>
      </w:r>
      <w:r w:rsidR="00924DA9" w:rsidRPr="002A63BA">
        <w:rPr>
          <w:rFonts w:ascii="Open Sans" w:hAnsi="Open Sans" w:cs="Open Sans"/>
          <w:spacing w:val="1"/>
          <w:lang w:val="en-US"/>
        </w:rPr>
        <w:t>erfaces, innovation, ecosystem and public-private co</w:t>
      </w:r>
      <w:r w:rsidRPr="002A63BA">
        <w:rPr>
          <w:rFonts w:ascii="Open Sans" w:hAnsi="Open Sans" w:cs="Open Sans"/>
          <w:spacing w:val="1"/>
          <w:lang w:val="en-US"/>
        </w:rPr>
        <w:t>op</w:t>
      </w:r>
      <w:r w:rsidR="00924DA9" w:rsidRPr="002A63BA">
        <w:rPr>
          <w:rFonts w:ascii="Open Sans" w:hAnsi="Open Sans" w:cs="Open Sans"/>
          <w:spacing w:val="1"/>
          <w:lang w:val="en-US"/>
        </w:rPr>
        <w:t>eration</w:t>
      </w:r>
      <w:r w:rsidRPr="002A63BA">
        <w:rPr>
          <w:rFonts w:ascii="Open Sans" w:hAnsi="Open Sans" w:cs="Open Sans"/>
          <w:spacing w:val="1"/>
          <w:lang w:val="en-US"/>
        </w:rPr>
        <w:t xml:space="preserve">. </w:t>
      </w:r>
      <w:r w:rsidR="00924DA9" w:rsidRPr="002A63BA">
        <w:rPr>
          <w:rFonts w:ascii="Open Sans" w:hAnsi="Open Sans" w:cs="Open Sans"/>
          <w:spacing w:val="1"/>
          <w:lang w:val="en-US"/>
        </w:rPr>
        <w:t>M</w:t>
      </w:r>
      <w:r w:rsidRPr="002A63BA">
        <w:rPr>
          <w:rFonts w:ascii="Open Sans" w:hAnsi="Open Sans" w:cs="Open Sans"/>
          <w:spacing w:val="1"/>
          <w:lang w:val="en-US"/>
        </w:rPr>
        <w:t xml:space="preserve">ost of the operators and transportation companies have allowed access to their data. Helsinki Region Transport (HSL) </w:t>
      </w:r>
      <w:r w:rsidR="00924DA9" w:rsidRPr="002A63BA">
        <w:rPr>
          <w:rFonts w:ascii="Open Sans" w:hAnsi="Open Sans" w:cs="Open Sans"/>
          <w:spacing w:val="1"/>
          <w:lang w:val="en-US"/>
        </w:rPr>
        <w:t>as</w:t>
      </w:r>
      <w:r w:rsidRPr="002A63BA">
        <w:rPr>
          <w:rFonts w:ascii="Open Sans" w:hAnsi="Open Sans" w:cs="Open Sans"/>
          <w:spacing w:val="1"/>
          <w:lang w:val="en-US"/>
        </w:rPr>
        <w:t xml:space="preserve"> a local public transportation authority has opened all the relevant data about</w:t>
      </w:r>
      <w:r w:rsidR="00924DA9" w:rsidRPr="002A63BA">
        <w:rPr>
          <w:rFonts w:ascii="Open Sans" w:hAnsi="Open Sans" w:cs="Open Sans"/>
          <w:spacing w:val="1"/>
          <w:lang w:val="en-US"/>
        </w:rPr>
        <w:t xml:space="preserve"> the routing, maps, timetables and vehicle locations that can be used by everyone. </w:t>
      </w:r>
      <w:r w:rsidRPr="002A63BA">
        <w:rPr>
          <w:rFonts w:ascii="Open Sans" w:hAnsi="Open Sans" w:cs="Open Sans"/>
          <w:spacing w:val="1"/>
          <w:lang w:val="en-US"/>
        </w:rPr>
        <w:t xml:space="preserve">Besides the fact that Helsinki was ranked the leading city in the implementation of MaaS in Juniper Research’s 2018 study, it is </w:t>
      </w:r>
      <w:r w:rsidR="00924DA9" w:rsidRPr="002A63BA">
        <w:rPr>
          <w:rFonts w:ascii="Open Sans" w:hAnsi="Open Sans" w:cs="Open Sans"/>
          <w:spacing w:val="1"/>
          <w:lang w:val="en-US"/>
        </w:rPr>
        <w:t>highly ranked</w:t>
      </w:r>
      <w:r w:rsidRPr="002A63BA">
        <w:rPr>
          <w:rFonts w:ascii="Open Sans" w:hAnsi="Open Sans" w:cs="Open Sans"/>
          <w:spacing w:val="1"/>
          <w:lang w:val="en-US"/>
        </w:rPr>
        <w:t xml:space="preserve"> on the lists for air quality, congestion, bicycle use, mass transit use and cost of single city pu</w:t>
      </w:r>
      <w:r w:rsidR="00924DA9" w:rsidRPr="002A63BA">
        <w:rPr>
          <w:rFonts w:ascii="Open Sans" w:hAnsi="Open Sans" w:cs="Open Sans"/>
          <w:spacing w:val="1"/>
          <w:lang w:val="en-US"/>
        </w:rPr>
        <w:t>b</w:t>
      </w:r>
      <w:r w:rsidR="00057A5F" w:rsidRPr="002A63BA">
        <w:rPr>
          <w:rFonts w:ascii="Open Sans" w:hAnsi="Open Sans" w:cs="Open Sans"/>
          <w:spacing w:val="1"/>
          <w:lang w:val="en-US"/>
        </w:rPr>
        <w:t xml:space="preserve">lic transport tickets as well. </w:t>
      </w:r>
      <w:r w:rsidR="00057A5F" w:rsidRPr="002A63BA">
        <w:rPr>
          <w:rFonts w:ascii="Open Sans" w:hAnsi="Open Sans" w:cs="Open Sans"/>
          <w:spacing w:val="-1"/>
          <w:lang w:val="en-US"/>
        </w:rPr>
        <w:t>The ambitious target and vision of Helsinki Regional Transport is public transport to be the number one choice for travel. The plan by 2025 is that 30% of the buses should be running on electricity which would be generated in a sustainable manner for example using a wind, hydro or solar. In order to complete that vision, the city set some goals like Smooth journeys, Clear services, Increasing public transport use, Compact and</w:t>
      </w:r>
      <w:r w:rsidR="00057A5F" w:rsidRPr="002A63BA">
        <w:rPr>
          <w:rFonts w:ascii="Open Sans" w:hAnsi="Open Sans" w:cs="Open Sans"/>
          <w:spacing w:val="-2"/>
          <w:lang w:val="en-US"/>
        </w:rPr>
        <w:t xml:space="preserve"> attractive regions, Fewer emissions and Effective finances. </w:t>
      </w:r>
    </w:p>
    <w:p w14:paraId="2DA09F5E" w14:textId="77777777" w:rsidR="00057A5F" w:rsidRPr="002A63BA" w:rsidRDefault="000A46AB" w:rsidP="00FF3EE4">
      <w:pPr>
        <w:pStyle w:val="Naslov2"/>
        <w:spacing w:line="276" w:lineRule="auto"/>
        <w:rPr>
          <w:rFonts w:ascii="Open Sans" w:eastAsia="Times New Roman" w:hAnsi="Open Sans" w:cs="Open Sans"/>
          <w:sz w:val="22"/>
          <w:szCs w:val="22"/>
        </w:rPr>
      </w:pPr>
      <w:r w:rsidRPr="002A63BA">
        <w:rPr>
          <w:rFonts w:ascii="Open Sans" w:eastAsia="Times New Roman" w:hAnsi="Open Sans" w:cs="Open Sans"/>
          <w:sz w:val="22"/>
          <w:szCs w:val="22"/>
        </w:rPr>
        <w:t>Copenhagen</w:t>
      </w:r>
    </w:p>
    <w:p w14:paraId="060EB29E" w14:textId="77777777" w:rsidR="00340709" w:rsidRPr="002A63BA" w:rsidRDefault="00340709" w:rsidP="00FF3EE4">
      <w:pPr>
        <w:spacing w:line="276" w:lineRule="auto"/>
        <w:rPr>
          <w:rFonts w:ascii="Open Sans" w:hAnsi="Open Sans" w:cs="Open Sans"/>
        </w:rPr>
      </w:pPr>
      <w:r w:rsidRPr="002A63BA">
        <w:rPr>
          <w:rFonts w:ascii="Open Sans" w:hAnsi="Open Sans" w:cs="Open Sans"/>
        </w:rPr>
        <w:t>Copenhagen aimed to lead the change in the city’s carbon emissions and energy consumption,</w:t>
      </w:r>
      <w:r w:rsidR="00986B0F" w:rsidRPr="002A63BA">
        <w:rPr>
          <w:rFonts w:ascii="Open Sans" w:hAnsi="Open Sans" w:cs="Open Sans"/>
        </w:rPr>
        <w:t xml:space="preserve"> </w:t>
      </w:r>
      <w:r w:rsidRPr="002A63BA">
        <w:rPr>
          <w:rFonts w:ascii="Open Sans" w:hAnsi="Open Sans" w:cs="Open Sans"/>
        </w:rPr>
        <w:t xml:space="preserve">through the intelligent solutions in waste disposal, lighting and air quality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&lt;EndNote&gt;&lt;Cite&gt;&lt;Author&gt;Tomás&lt;/Author&gt;&lt;Year&gt;2017&lt;/Year&gt;&lt;RecNum&gt;282&lt;/RecNum&gt;&lt;DisplayText&gt;(Tomás, 2017)&lt;/DisplayText&gt;&lt;record&gt;&lt;rec-number&gt;282&lt;/rec-number&gt;&lt;foreign-keys&gt;&lt;key app="EN" db-id="9xtppttv1tfpsqedswup2p2w5tvf59x5dt5d" timestamp="1653904530"&gt;282&lt;/key&gt;&lt;/foreign-keys&gt;&lt;ref-type name="Electronic Article"&gt;43&lt;/ref-type&gt;&lt;contributors&gt;&lt;authors&gt;&lt;author&gt;&lt;style face="normal" font="default" size="100%"&gt;Tomás&lt;/style&gt;&lt;style face="normal" font="default" charset="238" size="100%"&gt;, &lt;/style&gt;&lt;style face="normal" font="default" size="100%"&gt;Juan Pedro &lt;/style&gt;&lt;/author&gt;&lt;/authors&gt;&lt;/contributors&gt;&lt;titles&gt;&lt;title&gt;Smart city case study: Copenhagen takes on waste, lighting, air quality&lt;/title&gt;&lt;/titles&gt;&lt;dates&gt;&lt;year&gt;&lt;style face="normal" font="default" charset="238" size="100%"&gt;2017&lt;/style&gt;&lt;/year&gt;&lt;/dates&gt;&lt;publisher&gt;Enterprise IoT Insights&lt;/publisher&gt;&lt;urls&gt;&lt;related-urls&gt;&lt;url&gt;https://enterpriseiotinsights.com/20170420/smart-cities/smart-city-case-study-copenhagen-tag23-tag99&lt;/url&gt;&lt;/related-urls&gt;&lt;/urls&gt;&lt;/record&gt;&lt;/Cite&gt;&lt;/EndNote&gt;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(Tomás, 2017)</w:t>
      </w:r>
      <w:r w:rsidR="00A3320D" w:rsidRPr="002A63BA">
        <w:rPr>
          <w:rFonts w:ascii="Open Sans" w:hAnsi="Open Sans" w:cs="Open Sans"/>
        </w:rPr>
        <w:fldChar w:fldCharType="end"/>
      </w:r>
      <w:r w:rsidRPr="002A63BA">
        <w:rPr>
          <w:rFonts w:ascii="Open Sans" w:hAnsi="Open Sans" w:cs="Open Sans"/>
        </w:rPr>
        <w:t xml:space="preserve">. The key smart city initiative for Copenhagen was the Danish Outdoor Lighting Lab. The initial aim of the lab was to test the LED solutions for energy efficiency. But eventually, it comprised other smart city solutions in the field of mobility and parking, environmental monitoring, waste management, Internet of Things communication systems and many more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&lt;EndNote&gt;&lt;Cite&gt;&lt;Author&gt;Hansen&lt;/Author&gt;&lt;Year&gt;2020&lt;/Year&gt;&lt;RecNum&gt;283&lt;/RecNum&gt;&lt;DisplayText&gt;(Hansen, 2020)&lt;/DisplayText&gt;&lt;record&gt;&lt;rec-number&gt;283&lt;/rec-number&gt;&lt;foreign-keys&gt;&lt;key app="EN" db-id="9xtppttv1tfpsqedswup2p2w5tvf59x5dt5d" timestamp="1653904659"&gt;283&lt;/key&gt;&lt;/foreign-keys&gt;&lt;ref-type name="Report"&gt;27&lt;/ref-type&gt;&lt;contributors&gt;&lt;authors&gt;&lt;author&gt;&lt;style face="normal" font="default" size="100%"&gt;Hansen&lt;/style&gt;&lt;style face="normal" font="default" charset="238" size="100%"&gt;, &lt;/style&gt;&lt;style face="normal" font="default" size="100%"&gt;Magnus Paulsen &lt;/style&gt;&lt;/author&gt;&lt;/authors&gt;&lt;/contributors&gt;&lt;titles&gt;&lt;title&gt;Collaborating in Europe’s leading living lab for Smart City-services: the case of Danish Outdoor Lighting Living Lab&lt;/title&gt;&lt;/titles&gt;&lt;dates&gt;&lt;year&gt;&lt;style face="normal" font="default" charset="238" size="100%"&gt;2020&lt;/style&gt;&lt;/year&gt;&lt;/dates&gt;&lt;urls&gt;&lt;related-urls&gt;&lt;url&gt;https://tropico-project.eu/cases/administration-costs-for-bureaucracy/collaborating-in-europes-leading-living-lab-for-smart-city-services-the-case-of-danish-outdoor-lighting-living-lab-doll/&lt;/url&gt;&lt;/related-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(Hansen, 2020)</w:t>
      </w:r>
      <w:r w:rsidR="00A3320D" w:rsidRPr="002A63BA">
        <w:rPr>
          <w:rFonts w:ascii="Open Sans" w:hAnsi="Open Sans" w:cs="Open Sans"/>
        </w:rPr>
        <w:fldChar w:fldCharType="end"/>
      </w:r>
      <w:r w:rsidRPr="002A63BA">
        <w:rPr>
          <w:rFonts w:ascii="Open Sans" w:hAnsi="Open Sans" w:cs="Open Sans"/>
        </w:rPr>
        <w:t>.</w:t>
      </w:r>
      <w:r w:rsidRPr="002A63BA">
        <w:rPr>
          <w:rFonts w:ascii="Open Sans" w:hAnsi="Open Sans" w:cs="Open Sans"/>
          <w:color w:val="FF0000"/>
        </w:rPr>
        <w:t xml:space="preserve"> </w:t>
      </w:r>
      <w:r w:rsidRPr="002A63BA">
        <w:rPr>
          <w:rFonts w:ascii="Open Sans" w:hAnsi="Open Sans" w:cs="Open Sans"/>
        </w:rPr>
        <w:t xml:space="preserve">The technology collects the data throughout the whole city and makes a connection within its infrastructure, and therefore it helps the municipality monitor and optimize smart city solutions in real-time to meet the citizens’ needs. </w:t>
      </w:r>
      <w:r w:rsidR="00986B0F" w:rsidRPr="002A63BA">
        <w:rPr>
          <w:rFonts w:ascii="Open Sans" w:hAnsi="Open Sans" w:cs="Open Sans"/>
        </w:rPr>
        <w:t>The</w:t>
      </w:r>
      <w:r w:rsidRPr="002A63BA">
        <w:rPr>
          <w:rFonts w:ascii="Open Sans" w:hAnsi="Open Sans" w:cs="Open Sans"/>
        </w:rPr>
        <w:t xml:space="preserve"> living lab </w:t>
      </w:r>
      <w:r w:rsidR="00986B0F" w:rsidRPr="002A63BA">
        <w:rPr>
          <w:rFonts w:ascii="Open Sans" w:hAnsi="Open Sans" w:cs="Open Sans"/>
        </w:rPr>
        <w:t xml:space="preserve">enabled the city </w:t>
      </w:r>
      <w:r w:rsidRPr="002A63BA">
        <w:rPr>
          <w:rFonts w:ascii="Open Sans" w:hAnsi="Open Sans" w:cs="Open Sans"/>
        </w:rPr>
        <w:t xml:space="preserve">to start with its plan to reduce carbon </w:t>
      </w:r>
      <w:r w:rsidRPr="002A63BA">
        <w:rPr>
          <w:rFonts w:ascii="Open Sans" w:hAnsi="Open Sans" w:cs="Open Sans"/>
        </w:rPr>
        <w:lastRenderedPageBreak/>
        <w:t>emissions and energy consumption. The municipality had to monitor the emissions and their sources, and they used the lab’s data to do this.</w:t>
      </w:r>
    </w:p>
    <w:p w14:paraId="7CE71D3A" w14:textId="77777777" w:rsidR="00340709" w:rsidRPr="002A63BA" w:rsidRDefault="00340709" w:rsidP="00FF3EE4">
      <w:pPr>
        <w:spacing w:line="276" w:lineRule="auto"/>
        <w:rPr>
          <w:rFonts w:ascii="Open Sans" w:hAnsi="Open Sans" w:cs="Open Sans"/>
        </w:rPr>
      </w:pPr>
      <w:r w:rsidRPr="002A63BA">
        <w:rPr>
          <w:rFonts w:ascii="Open Sans" w:hAnsi="Open Sans" w:cs="Open Sans"/>
        </w:rPr>
        <w:t xml:space="preserve">In 2009, the municipality decided to </w:t>
      </w:r>
      <w:r w:rsidR="00986B0F" w:rsidRPr="002A63BA">
        <w:rPr>
          <w:rFonts w:ascii="Open Sans" w:hAnsi="Open Sans" w:cs="Open Sans"/>
        </w:rPr>
        <w:t>start</w:t>
      </w:r>
      <w:r w:rsidRPr="002A63BA">
        <w:rPr>
          <w:rFonts w:ascii="Open Sans" w:hAnsi="Open Sans" w:cs="Open Sans"/>
        </w:rPr>
        <w:t xml:space="preserve"> with a plan to become a carbo</w:t>
      </w:r>
      <w:r w:rsidR="009A420D" w:rsidRPr="002A63BA">
        <w:rPr>
          <w:rFonts w:ascii="Open Sans" w:hAnsi="Open Sans" w:cs="Open Sans"/>
        </w:rPr>
        <w:t>n-neutral city by the year 2025</w:t>
      </w:r>
      <w:r w:rsidRPr="002A63BA">
        <w:rPr>
          <w:rFonts w:ascii="Open Sans" w:hAnsi="Open Sans" w:cs="Open Sans"/>
        </w:rPr>
        <w:t xml:space="preserve">. This means not only reducing and finally eliminating emissions within the city of Copenhagen, but also outside its geographical boundary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&lt;EndNote&gt;&lt;Cite&gt;&lt;Author&gt;Damsø&lt;/Author&gt;&lt;Year&gt;2017&lt;/Year&gt;&lt;RecNum&gt;284&lt;/RecNum&gt;&lt;DisplayText&gt;(Damsø, Kjær, &amp;amp; Christensen, 2017)&lt;/DisplayText&gt;&lt;record&gt;&lt;rec-number&gt;284&lt;/rec-number&gt;&lt;foreign-keys&gt;&lt;key app="EN" db-id="9xtppttv1tfpsqedswup2p2w5tvf59x5dt5d" timestamp="1653904792"&gt;284&lt;/key&gt;&lt;/foreign-keys&gt;&lt;ref-type name="Journal Article"&gt;17&lt;/ref-type&gt;&lt;contributors&gt;&lt;authors&gt;&lt;author&gt;Damsø, Tue&lt;/author&gt;&lt;author&gt;Kjær, Tyge&lt;/author&gt;&lt;author&gt;Christensen, Thomas Budde&lt;/author&gt;&lt;/authors&gt;&lt;/contributors&gt;&lt;titles&gt;&lt;title&gt;Implementation of local climate action plans: Copenhagen–Towards a carbon-neutral capital&lt;/title&gt;&lt;secondary-title&gt;Journal of cleaner production&lt;/secondary-title&gt;&lt;/titles&gt;&lt;periodical&gt;&lt;full-title&gt;Journal of Cleaner Production&lt;/full-title&gt;&lt;/periodical&gt;&lt;pages&gt;406-415&lt;/pages&gt;&lt;volume&gt;167&lt;/volume&gt;&lt;dates&gt;&lt;year&gt;2017&lt;/year&gt;&lt;/dates&gt;&lt;isbn&gt;0959-6526&lt;/isbn&gt;&lt;urls&gt;&lt;/urls&gt;&lt;/record&gt;&lt;/Cite&gt;&lt;/EndNote&gt;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(Damsø, Kjær, &amp; Christensen, 2017)</w:t>
      </w:r>
      <w:r w:rsidR="00A3320D" w:rsidRPr="002A63BA">
        <w:rPr>
          <w:rFonts w:ascii="Open Sans" w:hAnsi="Open Sans" w:cs="Open Sans"/>
        </w:rPr>
        <w:fldChar w:fldCharType="end"/>
      </w:r>
      <w:r w:rsidRPr="002A63BA">
        <w:rPr>
          <w:rFonts w:ascii="Open Sans" w:hAnsi="Open Sans" w:cs="Open Sans"/>
        </w:rPr>
        <w:t xml:space="preserve">. </w:t>
      </w:r>
      <w:r w:rsidR="009A420D" w:rsidRPr="002A63BA">
        <w:rPr>
          <w:rFonts w:ascii="Open Sans" w:hAnsi="Open Sans" w:cs="Open Sans"/>
        </w:rPr>
        <w:t>T</w:t>
      </w:r>
      <w:r w:rsidRPr="002A63BA">
        <w:rPr>
          <w:rFonts w:ascii="Open Sans" w:hAnsi="Open Sans" w:cs="Open Sans"/>
        </w:rPr>
        <w:t xml:space="preserve">he energy sector contributes the most to the emissions, but it also has the largest share of initiatives and impact in the </w:t>
      </w:r>
      <w:r w:rsidR="009A420D" w:rsidRPr="002A63BA">
        <w:rPr>
          <w:rFonts w:ascii="Open Sans" w:hAnsi="Open Sans" w:cs="Open Sans"/>
        </w:rPr>
        <w:t>climate action plans (CAP)</w:t>
      </w:r>
      <w:r w:rsidRPr="002A63BA">
        <w:rPr>
          <w:rFonts w:ascii="Open Sans" w:hAnsi="Open Sans" w:cs="Open Sans"/>
        </w:rPr>
        <w:t xml:space="preserve">. The first CAP focused on improving the district heating system and promoted the wind power expansion. </w:t>
      </w:r>
      <w:r w:rsidR="009A420D" w:rsidRPr="002A63BA">
        <w:rPr>
          <w:rFonts w:ascii="Open Sans" w:hAnsi="Open Sans" w:cs="Open Sans"/>
        </w:rPr>
        <w:t>A</w:t>
      </w:r>
      <w:r w:rsidRPr="002A63BA">
        <w:rPr>
          <w:rFonts w:ascii="Open Sans" w:hAnsi="Open Sans" w:cs="Open Sans"/>
        </w:rPr>
        <w:t xml:space="preserve">rtificial intelligence </w:t>
      </w:r>
      <w:r w:rsidR="009A420D" w:rsidRPr="002A63BA">
        <w:rPr>
          <w:rFonts w:ascii="Open Sans" w:hAnsi="Open Sans" w:cs="Open Sans"/>
        </w:rPr>
        <w:t xml:space="preserve">is used </w:t>
      </w:r>
      <w:r w:rsidRPr="002A63BA">
        <w:rPr>
          <w:rFonts w:ascii="Open Sans" w:hAnsi="Open Sans" w:cs="Open Sans"/>
        </w:rPr>
        <w:t>to predict when and how much heat and ventilation the mu</w:t>
      </w:r>
      <w:r w:rsidR="009A420D" w:rsidRPr="002A63BA">
        <w:rPr>
          <w:rFonts w:ascii="Open Sans" w:hAnsi="Open Sans" w:cs="Open Sans"/>
        </w:rPr>
        <w:t xml:space="preserve">nicipality buildings will need. </w:t>
      </w:r>
      <w:r w:rsidRPr="002A63BA">
        <w:rPr>
          <w:rFonts w:ascii="Open Sans" w:hAnsi="Open Sans" w:cs="Open Sans"/>
        </w:rPr>
        <w:t xml:space="preserve">CAP also promoted alternatives to using fuel in transport, switching from coal to biomass. </w:t>
      </w:r>
      <w:r w:rsidR="009A420D" w:rsidRPr="002A63BA">
        <w:rPr>
          <w:rFonts w:ascii="Open Sans" w:hAnsi="Open Sans" w:cs="Open Sans"/>
        </w:rPr>
        <w:t>The city</w:t>
      </w:r>
      <w:r w:rsidRPr="002A63BA">
        <w:rPr>
          <w:rFonts w:ascii="Open Sans" w:hAnsi="Open Sans" w:cs="Open Sans"/>
        </w:rPr>
        <w:t xml:space="preserve"> set up electric chargers and established natural gas and a hydrogen gas station, and started switching to alternative fuels in the entire municipality fleet.  </w:t>
      </w:r>
    </w:p>
    <w:p w14:paraId="4959455D" w14:textId="77777777" w:rsidR="003805F1" w:rsidRPr="002A63BA" w:rsidRDefault="00340709" w:rsidP="00FF3EE4">
      <w:pPr>
        <w:spacing w:line="276" w:lineRule="auto"/>
        <w:rPr>
          <w:rFonts w:ascii="Open Sans" w:hAnsi="Open Sans" w:cs="Open Sans"/>
          <w:color w:val="000000"/>
        </w:rPr>
      </w:pPr>
      <w:r w:rsidRPr="002A63BA">
        <w:rPr>
          <w:rFonts w:ascii="Open Sans" w:hAnsi="Open Sans" w:cs="Open Sans"/>
        </w:rPr>
        <w:t>The city also collaborated with Google to start measuring the air pollution down to the street levels in the project called Air View.</w:t>
      </w:r>
      <w:r w:rsidR="009A420D" w:rsidRPr="002A63BA">
        <w:rPr>
          <w:rFonts w:ascii="Open Sans" w:hAnsi="Open Sans" w:cs="Open Sans"/>
        </w:rPr>
        <w:t xml:space="preserve"> T</w:t>
      </w:r>
      <w:r w:rsidRPr="002A63BA">
        <w:rPr>
          <w:rFonts w:ascii="Open Sans" w:hAnsi="Open Sans" w:cs="Open Sans"/>
        </w:rPr>
        <w:t xml:space="preserve">he Google Street View car, equipped with air quality measuring equipment, built a precise map of air quality along with Copenhagen blocks. It showed that the main roads have on average multiple times higher ultrafine particle concentration in the air than the residential areas with less traffic. The city is now using this data to design future </w:t>
      </w:r>
      <w:r w:rsidR="009A420D" w:rsidRPr="002A63BA">
        <w:rPr>
          <w:rFonts w:ascii="Open Sans" w:hAnsi="Open Sans" w:cs="Open Sans"/>
        </w:rPr>
        <w:t>neighbourhoods</w:t>
      </w:r>
      <w:r w:rsidRPr="002A63BA">
        <w:rPr>
          <w:rFonts w:ascii="Open Sans" w:hAnsi="Open Sans" w:cs="Open Sans"/>
        </w:rPr>
        <w:t xml:space="preserve"> in a way to keep schools and playgrounds, as well as bicycle and walking routes away from highly polluted roads. </w:t>
      </w:r>
      <w:r w:rsidR="003805F1" w:rsidRPr="002A63BA">
        <w:rPr>
          <w:rFonts w:ascii="Open Sans" w:hAnsi="Open Sans" w:cs="Open Sans"/>
        </w:rPr>
        <w:t xml:space="preserve"> It </w:t>
      </w:r>
      <w:r w:rsidRPr="002A63BA">
        <w:rPr>
          <w:rFonts w:ascii="Open Sans" w:hAnsi="Open Sans" w:cs="Open Sans"/>
        </w:rPr>
        <w:t xml:space="preserve">will </w:t>
      </w:r>
      <w:r w:rsidR="003805F1" w:rsidRPr="002A63BA">
        <w:rPr>
          <w:rFonts w:ascii="Open Sans" w:hAnsi="Open Sans" w:cs="Open Sans"/>
        </w:rPr>
        <w:t xml:space="preserve">also enable </w:t>
      </w:r>
      <w:r w:rsidRPr="002A63BA">
        <w:rPr>
          <w:rFonts w:ascii="Open Sans" w:hAnsi="Open Sans" w:cs="Open Sans"/>
        </w:rPr>
        <w:t xml:space="preserve">to use the data to foster more sustainable transportation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&lt;EndNote&gt;&lt;Cite&gt;&lt;Author&gt;Utrecht University&lt;/Author&gt;&lt;Year&gt;2021&lt;/Year&gt;&lt;RecNum&gt;285&lt;/RecNum&gt;&lt;DisplayText&gt;(Utrecht University, 2021)&lt;/DisplayText&gt;&lt;record&gt;&lt;rec-number&gt;285&lt;/rec-number&gt;&lt;foreign-keys&gt;&lt;key app="EN" db-id="9xtppttv1tfpsqedswup2p2w5tvf59x5dt5d" timestamp="1653905978"&gt;285&lt;/key&gt;&lt;/foreign-keys&gt;&lt;ref-type name="Web Page"&gt;12&lt;/ref-type&gt;&lt;contributors&gt;&lt;authors&gt;&lt;author&gt;&lt;style face="normal" font="default" size="100%"&gt;Utrecht University&lt;/style&gt;&lt;style face="normal" font="default" charset="238" size="100%"&gt;,&lt;/style&gt;&lt;/author&gt;&lt;/authors&gt;&lt;/contributors&gt;&lt;titles&gt;&lt;title&gt;Project Air View measurements result in hyperlocal map of air quality in Copenhagen&lt;/title&gt;&lt;/titles&gt;&lt;dates&gt;&lt;year&gt;&lt;style face="normal" font="default" charset="238" size="100%"&gt;2021&lt;/style&gt;&lt;/year&gt;&lt;/dates&gt;&lt;urls&gt;&lt;related-urls&gt;&lt;url&gt;https://www.uu.nl/en/news/project-air-view-measurements-result-in-hyperlocal-map-of-air-quality-in-copenhagen&lt;/url&gt;&lt;/related-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(Utrecht University, 2021)</w:t>
      </w:r>
      <w:r w:rsidR="00A3320D" w:rsidRPr="002A63BA">
        <w:rPr>
          <w:rFonts w:ascii="Open Sans" w:hAnsi="Open Sans" w:cs="Open Sans"/>
        </w:rPr>
        <w:fldChar w:fldCharType="end"/>
      </w:r>
      <w:r w:rsidRPr="002A63BA">
        <w:rPr>
          <w:rFonts w:ascii="Open Sans" w:hAnsi="Open Sans" w:cs="Open Sans"/>
        </w:rPr>
        <w:t>. For the same reasons, the city of Copenhagen established five measuring stations around the city i</w:t>
      </w:r>
      <w:r w:rsidRPr="002A63BA">
        <w:rPr>
          <w:rFonts w:ascii="Open Sans" w:hAnsi="Open Sans" w:cs="Open Sans"/>
          <w:color w:val="000000"/>
          <w:highlight w:val="white"/>
        </w:rPr>
        <w:t xml:space="preserve">n areas characterized by heavy traffic and stoves. </w:t>
      </w:r>
    </w:p>
    <w:p w14:paraId="00C6CE0A" w14:textId="77777777" w:rsidR="00FC5779" w:rsidRPr="002A63BA" w:rsidRDefault="00340709" w:rsidP="00FF3EE4">
      <w:pPr>
        <w:spacing w:line="276" w:lineRule="auto"/>
        <w:rPr>
          <w:rFonts w:ascii="Open Sans" w:hAnsi="Open Sans" w:cs="Open Sans"/>
        </w:rPr>
      </w:pPr>
      <w:r w:rsidRPr="002A63BA">
        <w:rPr>
          <w:rFonts w:ascii="Open Sans" w:hAnsi="Open Sans" w:cs="Open Sans"/>
        </w:rPr>
        <w:t xml:space="preserve">In the terms of waste management and utilization, Denmark has been a front-runner in diverting municipal waste from landfill, and its waste management system is almost completely designed around burning waste for energy. </w:t>
      </w:r>
      <w:r w:rsidR="003805F1" w:rsidRPr="002A63BA">
        <w:rPr>
          <w:rFonts w:ascii="Open Sans" w:hAnsi="Open Sans" w:cs="Open Sans"/>
        </w:rPr>
        <w:t>Therefore</w:t>
      </w:r>
      <w:r w:rsidRPr="002A63BA">
        <w:rPr>
          <w:rFonts w:ascii="Open Sans" w:hAnsi="Open Sans" w:cs="Open Sans"/>
        </w:rPr>
        <w:t xml:space="preserve">, the city of Copenhagen introduced some new initiatives to increase plastic collection and separation to remove </w:t>
      </w:r>
      <w:r w:rsidRPr="002A63BA">
        <w:rPr>
          <w:rFonts w:ascii="Open Sans" w:hAnsi="Open Sans" w:cs="Open Sans"/>
        </w:rPr>
        <w:lastRenderedPageBreak/>
        <w:t>fossil fuel-based waste</w:t>
      </w:r>
      <w:r w:rsidR="003805F1" w:rsidRPr="002A63BA">
        <w:rPr>
          <w:rFonts w:ascii="Open Sans" w:hAnsi="Open Sans" w:cs="Open Sans"/>
        </w:rPr>
        <w:t xml:space="preserve"> </w:t>
      </w:r>
      <w:r w:rsidRPr="002A63BA">
        <w:rPr>
          <w:rFonts w:ascii="Open Sans" w:hAnsi="Open Sans" w:cs="Open Sans"/>
        </w:rPr>
        <w:t>from incineration. They gave the opportunity to each household to sort out the hard plastics from their waste</w:t>
      </w:r>
      <w:r w:rsidR="003805F1" w:rsidRPr="002A63BA">
        <w:rPr>
          <w:rFonts w:ascii="Open Sans" w:hAnsi="Open Sans" w:cs="Open Sans"/>
        </w:rPr>
        <w:t xml:space="preserve">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&lt;EndNote&gt;&lt;Cite&gt;&lt;Author&gt;Damsø&lt;/Author&gt;&lt;Year&gt;2017&lt;/Year&gt;&lt;RecNum&gt;284&lt;/RecNum&gt;&lt;DisplayText&gt;(Damsø, et al., 2017)&lt;/DisplayText&gt;&lt;record&gt;&lt;rec-number&gt;284&lt;/rec-number&gt;&lt;foreign-keys&gt;&lt;key app="EN" db-id="9xtppttv1tfpsqedswup2p2w5tvf59x5dt5d" timestamp="1653904792"&gt;284&lt;/key&gt;&lt;/foreign-keys&gt;&lt;ref-type name="Journal Article"&gt;17&lt;/ref-type&gt;&lt;contributors&gt;&lt;authors&gt;&lt;author&gt;Damsø, Tue&lt;/author&gt;&lt;author&gt;Kjær, Tyge&lt;/author&gt;&lt;author&gt;Christensen, Thomas Budde&lt;/author&gt;&lt;/authors&gt;&lt;/contributors&gt;&lt;titles&gt;&lt;title&gt;Implementation of local climate action plans: Copenhagen–Towards a carbon-neutral capital&lt;/title&gt;&lt;secondary-title&gt;Journal of cleaner production&lt;/secondary-title&gt;&lt;/titles&gt;&lt;periodical&gt;&lt;full-title&gt;Journal of Cleaner Production&lt;/full-title&gt;&lt;/periodical&gt;&lt;pages&gt;406-415&lt;/pages&gt;&lt;volume&gt;167&lt;/volume&gt;&lt;dates&gt;&lt;year&gt;2017&lt;/year&gt;&lt;/dates&gt;&lt;isbn&gt;0959-6526&lt;/isbn&gt;&lt;urls&gt;&lt;/urls&gt;&lt;/record&gt;&lt;/Cite&gt;&lt;/EndNote&gt;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(Damsø, et al., 2017)</w:t>
      </w:r>
      <w:r w:rsidR="00A3320D" w:rsidRPr="002A63BA">
        <w:rPr>
          <w:rFonts w:ascii="Open Sans" w:hAnsi="Open Sans" w:cs="Open Sans"/>
        </w:rPr>
        <w:fldChar w:fldCharType="end"/>
      </w:r>
      <w:r w:rsidRPr="002A63BA">
        <w:rPr>
          <w:rFonts w:ascii="Open Sans" w:hAnsi="Open Sans" w:cs="Open Sans"/>
        </w:rPr>
        <w:t xml:space="preserve">. </w:t>
      </w:r>
    </w:p>
    <w:p w14:paraId="65DB1386" w14:textId="77777777" w:rsidR="001D7CAB" w:rsidRPr="002A63BA" w:rsidRDefault="00FC5779" w:rsidP="00FF3EE4">
      <w:pPr>
        <w:spacing w:line="276" w:lineRule="auto"/>
        <w:rPr>
          <w:rFonts w:ascii="Open Sans" w:hAnsi="Open Sans" w:cs="Open Sans"/>
        </w:rPr>
      </w:pPr>
      <w:r w:rsidRPr="002A63BA">
        <w:rPr>
          <w:rFonts w:ascii="Open Sans" w:hAnsi="Open Sans" w:cs="Open Sans"/>
        </w:rPr>
        <w:t xml:space="preserve">Several </w:t>
      </w:r>
      <w:r w:rsidR="00340709" w:rsidRPr="002A63BA">
        <w:rPr>
          <w:rFonts w:ascii="Open Sans" w:hAnsi="Open Sans" w:cs="Open Sans"/>
        </w:rPr>
        <w:t>initiatives were</w:t>
      </w:r>
      <w:r w:rsidRPr="002A63BA">
        <w:rPr>
          <w:rFonts w:ascii="Open Sans" w:hAnsi="Open Sans" w:cs="Open Sans"/>
        </w:rPr>
        <w:t xml:space="preserve"> also </w:t>
      </w:r>
      <w:r w:rsidR="00340709" w:rsidRPr="002A63BA">
        <w:rPr>
          <w:rFonts w:ascii="Open Sans" w:hAnsi="Open Sans" w:cs="Open Sans"/>
        </w:rPr>
        <w:t>introduced to help prevent food waste. The city opened social supermarkets, the shops that sell the food surpluses and goods that can no longer be sold because of overdue ‘best before’ dates, incorrect labels, or damaged packaging due to different reasons, but the food in these markets is still edible and safe to use. Consequently, they introduced the social supermarkets’ application for mobile phones named “Too Good To Go” in 2016. The app connects its users with local stores, restaurants and bakeries in their area that are selling their fo</w:t>
      </w:r>
      <w:r w:rsidRPr="002A63BA">
        <w:rPr>
          <w:rFonts w:ascii="Open Sans" w:hAnsi="Open Sans" w:cs="Open Sans"/>
        </w:rPr>
        <w:t xml:space="preserve">od surpluses at reduced prices </w:t>
      </w:r>
      <w:r w:rsidR="00A3320D" w:rsidRPr="002A63BA">
        <w:rPr>
          <w:rFonts w:ascii="Open Sans" w:hAnsi="Open Sans" w:cs="Open Sans"/>
        </w:rPr>
        <w:fldChar w:fldCharType="begin"/>
      </w:r>
      <w:r w:rsidR="00A3320D" w:rsidRPr="002A63BA">
        <w:rPr>
          <w:rFonts w:ascii="Open Sans" w:hAnsi="Open Sans" w:cs="Open Sans"/>
        </w:rPr>
        <w:instrText xml:space="preserve"> ADDIN EN.CITE &lt;EndNote&gt;&lt;Cite&gt;&lt;Author&gt;Ghafoor&lt;/Author&gt;&lt;Year&gt;2021&lt;/Year&gt;&lt;RecNum&gt;286&lt;/RecNum&gt;&lt;DisplayText&gt;(Ghafoor, 2021)&lt;/DisplayText&gt;&lt;record&gt;&lt;rec-number&gt;286&lt;/rec-number&gt;&lt;foreign-keys&gt;&lt;key app="EN" db-id="9xtppttv1tfpsqedswup2p2w5tvf59x5dt5d" timestamp="1653906359"&gt;286&lt;/key&gt;&lt;/foreign-keys&gt;&lt;ref-type name="Web Page"&gt;12&lt;/ref-type&gt;&lt;contributors&gt;&lt;authors&gt;&lt;author&gt;&lt;style face="normal" font="default" size="100%"&gt;Ghafoor&lt;/style&gt;&lt;style face="normal" font="default" charset="238" size="100%"&gt;, &lt;/style&gt;&lt;style face="normal" font="default" size="100%"&gt;Ahisha&lt;/style&gt;&lt;/author&gt;&lt;/authors&gt;&lt;/contributors&gt;&lt;titles&gt;&lt;title&gt;The Best Ways to Reduce Food Waste in Denmark&lt;/title&gt;&lt;/titles&gt;&lt;dates&gt;&lt;year&gt;&lt;style face="normal" font="default" charset="238" size="100%"&gt;2021&lt;/style&gt;&lt;/year&gt;&lt;/dates&gt;&lt;urls&gt;&lt;related-urls&gt;&lt;url&gt;https://www.scandinaviastandard.com/the-best-ways-to-reduce-food-waste-in-denmark/&lt;/url&gt;&lt;/related-urls&gt;&lt;/urls&gt;&lt;/record&gt;&lt;/Cite&gt;&lt;/EndNote&gt;</w:instrText>
      </w:r>
      <w:r w:rsidR="00A3320D" w:rsidRPr="002A63BA">
        <w:rPr>
          <w:rFonts w:ascii="Open Sans" w:hAnsi="Open Sans" w:cs="Open Sans"/>
        </w:rPr>
        <w:fldChar w:fldCharType="separate"/>
      </w:r>
      <w:r w:rsidR="00A3320D" w:rsidRPr="002A63BA">
        <w:rPr>
          <w:rFonts w:ascii="Open Sans" w:hAnsi="Open Sans" w:cs="Open Sans"/>
          <w:noProof/>
        </w:rPr>
        <w:t>(Ghafoor, 2021)</w:t>
      </w:r>
      <w:r w:rsidR="00A3320D" w:rsidRPr="002A63BA">
        <w:rPr>
          <w:rFonts w:ascii="Open Sans" w:hAnsi="Open Sans" w:cs="Open Sans"/>
        </w:rPr>
        <w:fldChar w:fldCharType="end"/>
      </w:r>
      <w:r w:rsidR="00340709" w:rsidRPr="002A63BA">
        <w:rPr>
          <w:rFonts w:ascii="Open Sans" w:hAnsi="Open Sans" w:cs="Open Sans"/>
        </w:rPr>
        <w:t xml:space="preserve">. </w:t>
      </w:r>
    </w:p>
    <w:p w14:paraId="175CADAC" w14:textId="7AE5B9F7" w:rsidR="00817568" w:rsidRPr="002A63BA" w:rsidRDefault="00A3320D" w:rsidP="00FF3EE4">
      <w:pPr>
        <w:pStyle w:val="N1"/>
      </w:pPr>
      <w:r w:rsidRPr="002A63BA">
        <w:t>CONCLUSION</w:t>
      </w:r>
    </w:p>
    <w:p w14:paraId="2F6F3882" w14:textId="23EE98B5" w:rsidR="007057C0" w:rsidRPr="002A63BA" w:rsidRDefault="007369B4" w:rsidP="00FF3EE4">
      <w:pPr>
        <w:spacing w:line="276" w:lineRule="auto"/>
        <w:rPr>
          <w:rFonts w:ascii="Open Sans" w:hAnsi="Open Sans" w:cs="Open Sans"/>
        </w:rPr>
      </w:pPr>
      <w:r w:rsidRPr="002A63BA">
        <w:rPr>
          <w:rFonts w:ascii="Open Sans" w:hAnsi="Open Sans" w:cs="Open Sans"/>
        </w:rPr>
        <w:t>The share of the urban population in relation to rural areas has been rapidly increasing in the past decades</w:t>
      </w:r>
      <w:r w:rsidR="00FA5A2E" w:rsidRPr="002A63BA">
        <w:rPr>
          <w:rFonts w:ascii="Open Sans" w:hAnsi="Open Sans" w:cs="Open Sans"/>
        </w:rPr>
        <w:t xml:space="preserve"> and will further increase. Most of the population is already living in urban environments, causing various issues. </w:t>
      </w:r>
      <w:r w:rsidR="00046E5C" w:rsidRPr="002A63BA">
        <w:rPr>
          <w:rFonts w:ascii="Open Sans" w:hAnsi="Open Sans" w:cs="Open Sans"/>
        </w:rPr>
        <w:t xml:space="preserve">Cities are using digitalization as a tool for effective and efficient </w:t>
      </w:r>
      <w:r w:rsidRPr="002A63BA">
        <w:rPr>
          <w:rFonts w:ascii="Open Sans" w:hAnsi="Open Sans" w:cs="Open Sans"/>
        </w:rPr>
        <w:t xml:space="preserve">planning, managing, and governing by </w:t>
      </w:r>
      <w:r w:rsidR="00AF4603" w:rsidRPr="002A63BA">
        <w:rPr>
          <w:rFonts w:ascii="Open Sans" w:hAnsi="Open Sans" w:cs="Open Sans"/>
        </w:rPr>
        <w:t xml:space="preserve">implementing </w:t>
      </w:r>
      <w:r w:rsidR="00C62D38" w:rsidRPr="002A63BA">
        <w:rPr>
          <w:rFonts w:ascii="Open Sans" w:hAnsi="Open Sans" w:cs="Open Sans"/>
        </w:rPr>
        <w:t>smart</w:t>
      </w:r>
      <w:r w:rsidR="00AF4603" w:rsidRPr="002A63BA">
        <w:rPr>
          <w:rFonts w:ascii="Open Sans" w:hAnsi="Open Sans" w:cs="Open Sans"/>
        </w:rPr>
        <w:t xml:space="preserve"> initiatives. Moreover, they are </w:t>
      </w:r>
      <w:r w:rsidRPr="002A63BA">
        <w:rPr>
          <w:rFonts w:ascii="Open Sans" w:hAnsi="Open Sans" w:cs="Open Sans"/>
        </w:rPr>
        <w:t>taking into account international and national policies, adapted to the local context</w:t>
      </w:r>
      <w:r w:rsidR="00AF4603" w:rsidRPr="002A63BA">
        <w:rPr>
          <w:rFonts w:ascii="Open Sans" w:hAnsi="Open Sans" w:cs="Open Sans"/>
        </w:rPr>
        <w:t xml:space="preserve">. </w:t>
      </w:r>
      <w:r w:rsidR="001D1286" w:rsidRPr="002A63BA">
        <w:rPr>
          <w:rFonts w:ascii="Open Sans" w:hAnsi="Open Sans" w:cs="Open Sans"/>
        </w:rPr>
        <w:t>In the past decade, there has been a tremendous growth of interest in the international research community on complex urban questions, arising from the challenges that come hand in hand with urbanization</w:t>
      </w:r>
      <w:r w:rsidR="00AF4603" w:rsidRPr="002A63BA">
        <w:rPr>
          <w:rFonts w:ascii="Open Sans" w:hAnsi="Open Sans" w:cs="Open Sans"/>
        </w:rPr>
        <w:t xml:space="preserve">. </w:t>
      </w:r>
      <w:r w:rsidR="001D1286" w:rsidRPr="002A63BA">
        <w:rPr>
          <w:rFonts w:ascii="Open Sans" w:hAnsi="Open Sans" w:cs="Open Sans"/>
        </w:rPr>
        <w:t>New disciplines emerged, exploring the innovative approaches to overcoming the mentioned challenges by the implementation of smart initiatives. The smart city concept has been born, alongside concepts like sustainable or green city, as a new managerial approac</w:t>
      </w:r>
      <w:r w:rsidR="00AF4603" w:rsidRPr="002A63BA">
        <w:rPr>
          <w:rFonts w:ascii="Open Sans" w:hAnsi="Open Sans" w:cs="Open Sans"/>
        </w:rPr>
        <w:t>h</w:t>
      </w:r>
      <w:r w:rsidR="001D1286" w:rsidRPr="002A63BA">
        <w:rPr>
          <w:rFonts w:ascii="Open Sans" w:hAnsi="Open Sans" w:cs="Open Sans"/>
        </w:rPr>
        <w:t xml:space="preserve">. The understanding of the smart city concept was first limited to the digitalization of city processes but has in recent years pointed out the importance of sustainability with the aim of providing a good quality of life for its residents. The new perspective put the responsibility on cities to help solve the environmental crisis happening </w:t>
      </w:r>
      <w:r w:rsidR="001D1286" w:rsidRPr="002A63BA">
        <w:rPr>
          <w:rFonts w:ascii="Open Sans" w:hAnsi="Open Sans" w:cs="Open Sans"/>
        </w:rPr>
        <w:lastRenderedPageBreak/>
        <w:t xml:space="preserve">worldwide, since they </w:t>
      </w:r>
      <w:r w:rsidR="00AF4603" w:rsidRPr="002A63BA">
        <w:rPr>
          <w:rFonts w:ascii="Open Sans" w:hAnsi="Open Sans" w:cs="Open Sans"/>
        </w:rPr>
        <w:t xml:space="preserve">are one of the biggest </w:t>
      </w:r>
      <w:r w:rsidR="004A6917" w:rsidRPr="002A63BA">
        <w:rPr>
          <w:rFonts w:ascii="Open Sans" w:hAnsi="Open Sans" w:cs="Open Sans"/>
        </w:rPr>
        <w:t>producers</w:t>
      </w:r>
      <w:r w:rsidR="001D1286" w:rsidRPr="002A63BA">
        <w:rPr>
          <w:rFonts w:ascii="Open Sans" w:hAnsi="Open Sans" w:cs="Open Sans"/>
        </w:rPr>
        <w:t xml:space="preserve"> of harmful greenhouse gases, </w:t>
      </w:r>
      <w:r w:rsidR="004A6917" w:rsidRPr="002A63BA">
        <w:rPr>
          <w:rFonts w:ascii="Open Sans" w:hAnsi="Open Sans" w:cs="Open Sans"/>
        </w:rPr>
        <w:t>together with</w:t>
      </w:r>
      <w:r w:rsidR="001D1286" w:rsidRPr="002A63BA">
        <w:rPr>
          <w:rFonts w:ascii="Open Sans" w:hAnsi="Open Sans" w:cs="Open Sans"/>
        </w:rPr>
        <w:t xml:space="preserve"> agricultural activities and forestry.</w:t>
      </w:r>
      <w:r w:rsidR="002E44C3" w:rsidRPr="002A63BA">
        <w:rPr>
          <w:rFonts w:ascii="Open Sans" w:hAnsi="Open Sans" w:cs="Open Sans"/>
        </w:rPr>
        <w:t xml:space="preserve"> </w:t>
      </w:r>
      <w:r w:rsidR="009D1534" w:rsidRPr="002A63BA">
        <w:rPr>
          <w:rFonts w:ascii="Open Sans" w:hAnsi="Open Sans" w:cs="Open Sans"/>
        </w:rPr>
        <w:t>To conclude, e</w:t>
      </w:r>
      <w:r w:rsidR="00EB1C0E" w:rsidRPr="002A63BA">
        <w:rPr>
          <w:rFonts w:ascii="Open Sans" w:hAnsi="Open Sans" w:cs="Open Sans"/>
        </w:rPr>
        <w:t xml:space="preserve">ven though </w:t>
      </w:r>
      <w:r w:rsidR="00D1486D" w:rsidRPr="002A63BA">
        <w:rPr>
          <w:rFonts w:ascii="Open Sans" w:hAnsi="Open Sans" w:cs="Open Sans"/>
        </w:rPr>
        <w:t>smart cities have been extensively researched</w:t>
      </w:r>
      <w:r w:rsidR="00ED3327" w:rsidRPr="002A63BA">
        <w:rPr>
          <w:rFonts w:ascii="Open Sans" w:hAnsi="Open Sans" w:cs="Open Sans"/>
        </w:rPr>
        <w:t xml:space="preserve"> in recent years</w:t>
      </w:r>
      <w:r w:rsidR="00D1486D" w:rsidRPr="002A63BA">
        <w:rPr>
          <w:rFonts w:ascii="Open Sans" w:hAnsi="Open Sans" w:cs="Open Sans"/>
        </w:rPr>
        <w:t xml:space="preserve">, </w:t>
      </w:r>
      <w:r w:rsidR="00F873BF" w:rsidRPr="002A63BA">
        <w:rPr>
          <w:rFonts w:ascii="Open Sans" w:hAnsi="Open Sans" w:cs="Open Sans"/>
        </w:rPr>
        <w:t xml:space="preserve">there are still many perspectives, that have not been covered yet. </w:t>
      </w:r>
      <w:r w:rsidR="00BE6FB0" w:rsidRPr="002A63BA">
        <w:rPr>
          <w:rFonts w:ascii="Open Sans" w:hAnsi="Open Sans" w:cs="Open Sans"/>
        </w:rPr>
        <w:t xml:space="preserve">Moreover, </w:t>
      </w:r>
      <w:r w:rsidR="001A56A1" w:rsidRPr="002A63BA">
        <w:rPr>
          <w:rFonts w:ascii="Open Sans" w:hAnsi="Open Sans" w:cs="Open Sans"/>
        </w:rPr>
        <w:t xml:space="preserve">case studies show that there are many challenges remaining in practice as well, which brings </w:t>
      </w:r>
      <w:r w:rsidR="00BB5568" w:rsidRPr="002A63BA">
        <w:rPr>
          <w:rFonts w:ascii="Open Sans" w:hAnsi="Open Sans" w:cs="Open Sans"/>
        </w:rPr>
        <w:t>numerous possibilities for further research of the concept</w:t>
      </w:r>
      <w:r w:rsidR="00B8639B" w:rsidRPr="002A63BA">
        <w:rPr>
          <w:rFonts w:ascii="Open Sans" w:hAnsi="Open Sans" w:cs="Open Sans"/>
        </w:rPr>
        <w:t xml:space="preserve">. </w:t>
      </w:r>
    </w:p>
    <w:p w14:paraId="5AB4AE7B" w14:textId="41FE375B" w:rsidR="26E560E0" w:rsidRPr="002A63BA" w:rsidRDefault="00483216" w:rsidP="00915817">
      <w:pPr>
        <w:pStyle w:val="N1"/>
      </w:pPr>
      <w:r w:rsidRPr="002A63BA">
        <w:t>REFERENCES</w:t>
      </w:r>
    </w:p>
    <w:p w14:paraId="10CDA18C"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fldChar w:fldCharType="begin"/>
      </w:r>
      <w:r w:rsidRPr="002A63BA">
        <w:rPr>
          <w:rFonts w:ascii="Open Sans" w:hAnsi="Open Sans" w:cs="Open Sans"/>
          <w:sz w:val="22"/>
        </w:rPr>
        <w:instrText xml:space="preserve"> ADDIN EN.REFLIST </w:instrText>
      </w:r>
      <w:r w:rsidRPr="002A63BA">
        <w:rPr>
          <w:rFonts w:ascii="Open Sans" w:hAnsi="Open Sans" w:cs="Open Sans"/>
          <w:sz w:val="22"/>
        </w:rPr>
        <w:fldChar w:fldCharType="separate"/>
      </w:r>
      <w:r w:rsidRPr="002A63BA">
        <w:rPr>
          <w:rFonts w:ascii="Open Sans" w:hAnsi="Open Sans" w:cs="Open Sans"/>
          <w:sz w:val="22"/>
        </w:rPr>
        <w:t xml:space="preserve">Allied Telesis. ICT: The Fundamental Enabler for Smart Cities, from </w:t>
      </w:r>
      <w:hyperlink r:id="rId14" w:history="1">
        <w:r w:rsidRPr="002A63BA">
          <w:rPr>
            <w:rStyle w:val="Hiperveza"/>
            <w:rFonts w:ascii="Open Sans" w:hAnsi="Open Sans" w:cs="Open Sans"/>
            <w:sz w:val="22"/>
          </w:rPr>
          <w:t>https://www.alliedtelesis.com/si/en/blog/ict-fundamental-enabler-smart-cities</w:t>
        </w:r>
      </w:hyperlink>
    </w:p>
    <w:p w14:paraId="3BBB3C1F" w14:textId="711C97EE"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Antunes, M., Barocca, G., Guerreiro Oliveira, D. (2021). Urban future with a purpose: 12 trends shaping human living: Deloitte University.</w:t>
      </w:r>
    </w:p>
    <w:p w14:paraId="18FE36F3" w14:textId="03D98529"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Bakıcı, T., Almirall, E., Wareham, J. (2013). A smart city initiative: the case of Barcelona. </w:t>
      </w:r>
      <w:r w:rsidRPr="002A63BA">
        <w:rPr>
          <w:rFonts w:ascii="Open Sans" w:hAnsi="Open Sans" w:cs="Open Sans"/>
          <w:i/>
          <w:iCs/>
          <w:sz w:val="22"/>
        </w:rPr>
        <w:t>Journal of the knowledge economy</w:t>
      </w:r>
      <w:r w:rsidRPr="002A63BA">
        <w:rPr>
          <w:rFonts w:ascii="Open Sans" w:hAnsi="Open Sans" w:cs="Open Sans"/>
          <w:sz w:val="22"/>
        </w:rPr>
        <w:t xml:space="preserve">, 4(2), </w:t>
      </w:r>
      <w:r w:rsidR="00342F28" w:rsidRPr="002A63BA">
        <w:rPr>
          <w:rFonts w:ascii="Open Sans" w:hAnsi="Open Sans" w:cs="Open Sans"/>
          <w:sz w:val="22"/>
        </w:rPr>
        <w:t xml:space="preserve">pp. </w:t>
      </w:r>
      <w:r w:rsidRPr="002A63BA">
        <w:rPr>
          <w:rFonts w:ascii="Open Sans" w:hAnsi="Open Sans" w:cs="Open Sans"/>
          <w:sz w:val="22"/>
        </w:rPr>
        <w:t>135-148.</w:t>
      </w:r>
    </w:p>
    <w:p w14:paraId="6B8EB8E7" w14:textId="6418764A"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Baltac, V. (2019). Smart cities—A view of societal aspects. </w:t>
      </w:r>
      <w:r w:rsidRPr="002A63BA">
        <w:rPr>
          <w:rFonts w:ascii="Open Sans" w:hAnsi="Open Sans" w:cs="Open Sans"/>
          <w:i/>
          <w:iCs/>
          <w:sz w:val="22"/>
        </w:rPr>
        <w:t>Smart Cities</w:t>
      </w:r>
      <w:r w:rsidRPr="002A63BA">
        <w:rPr>
          <w:rFonts w:ascii="Open Sans" w:hAnsi="Open Sans" w:cs="Open Sans"/>
          <w:sz w:val="22"/>
        </w:rPr>
        <w:t xml:space="preserve">, 2(4), </w:t>
      </w:r>
      <w:r w:rsidR="00342F28" w:rsidRPr="002A63BA">
        <w:rPr>
          <w:rFonts w:ascii="Open Sans" w:hAnsi="Open Sans" w:cs="Open Sans"/>
          <w:sz w:val="22"/>
        </w:rPr>
        <w:t xml:space="preserve">pp. </w:t>
      </w:r>
      <w:r w:rsidRPr="002A63BA">
        <w:rPr>
          <w:rFonts w:ascii="Open Sans" w:hAnsi="Open Sans" w:cs="Open Sans"/>
          <w:sz w:val="22"/>
        </w:rPr>
        <w:t>538-548.</w:t>
      </w:r>
    </w:p>
    <w:p w14:paraId="5D5871B3" w14:textId="1B78162E"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Bibri, S. E.,</w:t>
      </w:r>
      <w:r w:rsidR="00342F28" w:rsidRPr="002A63BA">
        <w:rPr>
          <w:rFonts w:ascii="Open Sans" w:hAnsi="Open Sans" w:cs="Open Sans"/>
          <w:sz w:val="22"/>
        </w:rPr>
        <w:t xml:space="preserve"> </w:t>
      </w:r>
      <w:r w:rsidRPr="002A63BA">
        <w:rPr>
          <w:rFonts w:ascii="Open Sans" w:hAnsi="Open Sans" w:cs="Open Sans"/>
          <w:sz w:val="22"/>
        </w:rPr>
        <w:t xml:space="preserve">Krogstie, J. (2020). The emerging data–driven Smart City and its innovative applied solutions for sustainability: The cases of London and Barcelona. </w:t>
      </w:r>
      <w:r w:rsidRPr="002A63BA">
        <w:rPr>
          <w:rFonts w:ascii="Open Sans" w:hAnsi="Open Sans" w:cs="Open Sans"/>
          <w:i/>
          <w:iCs/>
          <w:sz w:val="22"/>
        </w:rPr>
        <w:t>Energy Informatics</w:t>
      </w:r>
      <w:r w:rsidRPr="002A63BA">
        <w:rPr>
          <w:rFonts w:ascii="Open Sans" w:hAnsi="Open Sans" w:cs="Open Sans"/>
          <w:sz w:val="22"/>
        </w:rPr>
        <w:t xml:space="preserve">, 3(1), </w:t>
      </w:r>
      <w:r w:rsidR="00342F28" w:rsidRPr="002A63BA">
        <w:rPr>
          <w:rFonts w:ascii="Open Sans" w:hAnsi="Open Sans" w:cs="Open Sans"/>
          <w:sz w:val="22"/>
        </w:rPr>
        <w:t xml:space="preserve">pp. </w:t>
      </w:r>
      <w:r w:rsidRPr="002A63BA">
        <w:rPr>
          <w:rFonts w:ascii="Open Sans" w:hAnsi="Open Sans" w:cs="Open Sans"/>
          <w:sz w:val="22"/>
        </w:rPr>
        <w:t>1-42.</w:t>
      </w:r>
    </w:p>
    <w:p w14:paraId="250EBC91"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Bouskela, M. (2016). The Road toward Smart Cities, Migrating from Traditional City Management to the Smart City, Inter-American Development Bank (IDB).</w:t>
      </w:r>
    </w:p>
    <w:p w14:paraId="4164C6AA"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Brokaw, L. (2016). Six Lessons From Amsterdam’s Smart City Initiative. </w:t>
      </w:r>
      <w:r w:rsidRPr="002A63BA">
        <w:rPr>
          <w:rFonts w:ascii="Open Sans" w:hAnsi="Open Sans" w:cs="Open Sans"/>
          <w:i/>
          <w:iCs/>
          <w:sz w:val="22"/>
        </w:rPr>
        <w:t>Sloan Review</w:t>
      </w:r>
      <w:r w:rsidRPr="002A63BA">
        <w:rPr>
          <w:rFonts w:ascii="Open Sans" w:hAnsi="Open Sans" w:cs="Open Sans"/>
          <w:sz w:val="22"/>
        </w:rPr>
        <w:t>.</w:t>
      </w:r>
    </w:p>
    <w:p w14:paraId="5226463E" w14:textId="00FB3691"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Capdevila, I., Zarlenga, M. I. (2015). Smart city or smart citizens? The Barcelona case.</w:t>
      </w:r>
      <w:r w:rsidRPr="002A63BA">
        <w:rPr>
          <w:rFonts w:ascii="Open Sans" w:hAnsi="Open Sans" w:cs="Open Sans"/>
          <w:i/>
          <w:iCs/>
          <w:sz w:val="22"/>
        </w:rPr>
        <w:t xml:space="preserve"> Journal of Strategy and Management</w:t>
      </w:r>
      <w:r w:rsidRPr="002A63BA">
        <w:rPr>
          <w:rFonts w:ascii="Open Sans" w:hAnsi="Open Sans" w:cs="Open Sans"/>
          <w:sz w:val="22"/>
        </w:rPr>
        <w:t>.</w:t>
      </w:r>
    </w:p>
    <w:p w14:paraId="18CD72FE" w14:textId="16FBBD40" w:rsidR="00154A4A" w:rsidRPr="002A63BA" w:rsidRDefault="00154A4A" w:rsidP="00915817">
      <w:pPr>
        <w:pStyle w:val="EndNoteBibliography"/>
        <w:numPr>
          <w:ilvl w:val="0"/>
          <w:numId w:val="2"/>
        </w:numPr>
        <w:spacing w:after="0" w:line="276" w:lineRule="auto"/>
        <w:ind w:left="357" w:hanging="357"/>
        <w:rPr>
          <w:rStyle w:val="eop"/>
          <w:rFonts w:ascii="Open Sans" w:hAnsi="Open Sans" w:cs="Open Sans"/>
          <w:color w:val="000000"/>
          <w:sz w:val="22"/>
          <w:shd w:val="clear" w:color="auto" w:fill="FFFFFF"/>
        </w:rPr>
      </w:pPr>
      <w:r w:rsidRPr="002A63BA">
        <w:rPr>
          <w:rStyle w:val="normaltextrun"/>
          <w:rFonts w:ascii="Open Sans" w:hAnsi="Open Sans" w:cs="Open Sans"/>
          <w:color w:val="000000"/>
          <w:sz w:val="22"/>
          <w:shd w:val="clear" w:color="auto" w:fill="FFFFFF"/>
          <w:lang w:val="en-GB"/>
        </w:rPr>
        <w:t xml:space="preserve">Clark, W. W. II., Cooke, Grant. (2020). </w:t>
      </w:r>
      <w:r w:rsidRPr="002A63BA">
        <w:rPr>
          <w:rStyle w:val="normaltextrun"/>
          <w:rFonts w:ascii="Open Sans" w:hAnsi="Open Sans" w:cs="Open Sans"/>
          <w:i/>
          <w:iCs/>
          <w:color w:val="000000"/>
          <w:sz w:val="22"/>
          <w:shd w:val="clear" w:color="auto" w:fill="FFFFFF"/>
          <w:lang w:val="en-GB"/>
        </w:rPr>
        <w:t>Smart green cities: toward a carbon neutral world</w:t>
      </w:r>
      <w:r w:rsidRPr="002A63BA">
        <w:rPr>
          <w:rStyle w:val="normaltextrun"/>
          <w:rFonts w:ascii="Open Sans" w:hAnsi="Open Sans" w:cs="Open Sans"/>
          <w:color w:val="000000"/>
          <w:sz w:val="22"/>
          <w:shd w:val="clear" w:color="auto" w:fill="FFFFFF"/>
          <w:lang w:val="en-GB"/>
        </w:rPr>
        <w:t>. Routledge.</w:t>
      </w:r>
      <w:r w:rsidRPr="002A63BA">
        <w:rPr>
          <w:rStyle w:val="eop"/>
          <w:rFonts w:ascii="Open Sans" w:hAnsi="Open Sans" w:cs="Open Sans"/>
          <w:color w:val="000000"/>
          <w:sz w:val="22"/>
          <w:shd w:val="clear" w:color="auto" w:fill="FFFFFF"/>
        </w:rPr>
        <w:t> </w:t>
      </w:r>
    </w:p>
    <w:p w14:paraId="2161943D" w14:textId="2EA107E0"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Cró, I., Roegiers, T. (2021). Data protection in the smart city of Lisbon. Lisbon: Flanders Investment &amp; Trade.</w:t>
      </w:r>
    </w:p>
    <w:p w14:paraId="3780A83A"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lastRenderedPageBreak/>
        <w:t xml:space="preserve">Crowe, C. (2022). 12 predictions about the trends that will shape smart cities in 2022. </w:t>
      </w:r>
      <w:r w:rsidRPr="002A63BA">
        <w:rPr>
          <w:rFonts w:ascii="Open Sans" w:hAnsi="Open Sans" w:cs="Open Sans"/>
          <w:i/>
          <w:iCs/>
          <w:sz w:val="22"/>
        </w:rPr>
        <w:t>Smart Cities Dive</w:t>
      </w:r>
      <w:r w:rsidRPr="002A63BA">
        <w:rPr>
          <w:rFonts w:ascii="Open Sans" w:hAnsi="Open Sans" w:cs="Open Sans"/>
          <w:sz w:val="22"/>
        </w:rPr>
        <w:t>.</w:t>
      </w:r>
    </w:p>
    <w:p w14:paraId="5DC27829" w14:textId="5FE6E7FB"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Dameri, R. P., Rosenthal-Sabroux, C. (2014). Smart city and value creation</w:t>
      </w:r>
      <w:r w:rsidR="00413DB8" w:rsidRPr="002A63BA">
        <w:rPr>
          <w:rFonts w:ascii="Open Sans" w:hAnsi="Open Sans" w:cs="Open Sans"/>
          <w:sz w:val="22"/>
        </w:rPr>
        <w:t>.</w:t>
      </w:r>
      <w:r w:rsidRPr="002A63BA">
        <w:rPr>
          <w:rFonts w:ascii="Open Sans" w:hAnsi="Open Sans" w:cs="Open Sans"/>
          <w:sz w:val="22"/>
        </w:rPr>
        <w:t xml:space="preserve"> </w:t>
      </w:r>
      <w:r w:rsidRPr="002A63BA">
        <w:rPr>
          <w:rFonts w:ascii="Open Sans" w:hAnsi="Open Sans" w:cs="Open Sans"/>
          <w:i/>
          <w:iCs/>
          <w:sz w:val="22"/>
        </w:rPr>
        <w:t>Smart city</w:t>
      </w:r>
      <w:r w:rsidRPr="002A63BA">
        <w:rPr>
          <w:rFonts w:ascii="Open Sans" w:hAnsi="Open Sans" w:cs="Open Sans"/>
          <w:sz w:val="22"/>
        </w:rPr>
        <w:t xml:space="preserve"> (pp. 1-12): Springer.</w:t>
      </w:r>
    </w:p>
    <w:p w14:paraId="0888947D" w14:textId="31F12BD4"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Damsø, T., Kjær, T., Christensen, T. B. (2017). Implementation of local climate action plans: Copenhagen–Towards a carbon-neutral capital. </w:t>
      </w:r>
      <w:r w:rsidRPr="002A63BA">
        <w:rPr>
          <w:rFonts w:ascii="Open Sans" w:hAnsi="Open Sans" w:cs="Open Sans"/>
          <w:i/>
          <w:iCs/>
          <w:sz w:val="22"/>
        </w:rPr>
        <w:t>Journal of cleaner production</w:t>
      </w:r>
      <w:r w:rsidRPr="002A63BA">
        <w:rPr>
          <w:rFonts w:ascii="Open Sans" w:hAnsi="Open Sans" w:cs="Open Sans"/>
          <w:sz w:val="22"/>
        </w:rPr>
        <w:t xml:space="preserve">, 167, </w:t>
      </w:r>
      <w:r w:rsidR="003B3312" w:rsidRPr="002A63BA">
        <w:rPr>
          <w:rFonts w:ascii="Open Sans" w:hAnsi="Open Sans" w:cs="Open Sans"/>
          <w:sz w:val="22"/>
        </w:rPr>
        <w:t xml:space="preserve">pp. </w:t>
      </w:r>
      <w:r w:rsidRPr="002A63BA">
        <w:rPr>
          <w:rFonts w:ascii="Open Sans" w:hAnsi="Open Sans" w:cs="Open Sans"/>
          <w:sz w:val="22"/>
        </w:rPr>
        <w:t>406-415.</w:t>
      </w:r>
    </w:p>
    <w:p w14:paraId="7AB53FD8" w14:textId="1C847EE0"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Danielou, J. (2014). Smart city and sustainable city : the case of Amsterdam. </w:t>
      </w:r>
      <w:r w:rsidR="003B3312" w:rsidRPr="002A63BA">
        <w:rPr>
          <w:rFonts w:ascii="Open Sans" w:hAnsi="Open Sans" w:cs="Open Sans"/>
          <w:sz w:val="22"/>
        </w:rPr>
        <w:t>Available at:</w:t>
      </w:r>
      <w:r w:rsidRPr="002A63BA">
        <w:rPr>
          <w:rFonts w:ascii="Open Sans" w:hAnsi="Open Sans" w:cs="Open Sans"/>
          <w:sz w:val="22"/>
        </w:rPr>
        <w:t xml:space="preserve"> </w:t>
      </w:r>
      <w:hyperlink r:id="rId15" w:history="1">
        <w:r w:rsidRPr="002A63BA">
          <w:rPr>
            <w:rStyle w:val="Hiperveza"/>
            <w:rFonts w:ascii="Open Sans" w:hAnsi="Open Sans" w:cs="Open Sans"/>
            <w:sz w:val="22"/>
          </w:rPr>
          <w:t>https://www.citego.org/bdf_fiche-document-2429_en.html</w:t>
        </w:r>
      </w:hyperlink>
    </w:p>
    <w:p w14:paraId="165F49C4" w14:textId="6E19B875"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Dassani, N., Nirwan, D., Hariharan, G. (2015). Dubai A New Paradigm For Smart Cities. UAE: KPMG.</w:t>
      </w:r>
    </w:p>
    <w:p w14:paraId="609DA743" w14:textId="6394D639"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De Marco, A., Mangano, G. (2021). Evolutionary trends in smart city initiatives. </w:t>
      </w:r>
      <w:r w:rsidRPr="002A63BA">
        <w:rPr>
          <w:rFonts w:ascii="Open Sans" w:hAnsi="Open Sans" w:cs="Open Sans"/>
          <w:i/>
          <w:iCs/>
          <w:sz w:val="22"/>
        </w:rPr>
        <w:t>Sustainable Futures</w:t>
      </w:r>
      <w:r w:rsidRPr="002A63BA">
        <w:rPr>
          <w:rFonts w:ascii="Open Sans" w:hAnsi="Open Sans" w:cs="Open Sans"/>
          <w:sz w:val="22"/>
        </w:rPr>
        <w:t>, 3, 100052.</w:t>
      </w:r>
    </w:p>
    <w:p w14:paraId="1B26A4FC" w14:textId="5B9818C5"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Deskos, N. How Amsterdam Smart City aims to shape the city of the future. </w:t>
      </w:r>
      <w:r w:rsidR="003B3312" w:rsidRPr="002A63BA">
        <w:rPr>
          <w:rFonts w:ascii="Open Sans" w:hAnsi="Open Sans" w:cs="Open Sans"/>
          <w:sz w:val="22"/>
        </w:rPr>
        <w:t>Available at:</w:t>
      </w:r>
      <w:r w:rsidRPr="002A63BA">
        <w:rPr>
          <w:rFonts w:ascii="Open Sans" w:hAnsi="Open Sans" w:cs="Open Sans"/>
          <w:sz w:val="22"/>
        </w:rPr>
        <w:t xml:space="preserve"> </w:t>
      </w:r>
      <w:hyperlink r:id="rId16" w:history="1">
        <w:r w:rsidRPr="002A63BA">
          <w:rPr>
            <w:rStyle w:val="Hiperveza"/>
            <w:rFonts w:ascii="Open Sans" w:hAnsi="Open Sans" w:cs="Open Sans"/>
            <w:sz w:val="22"/>
          </w:rPr>
          <w:t>https://crowded.co/blog/case-studies/amsterdam-smart-city</w:t>
        </w:r>
      </w:hyperlink>
    </w:p>
    <w:p w14:paraId="349423C0"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Digital Dubai. (2020). Our vision is to digitalize life in Dubai, from </w:t>
      </w:r>
      <w:hyperlink r:id="rId17" w:history="1">
        <w:r w:rsidRPr="002A63BA">
          <w:rPr>
            <w:rStyle w:val="Hiperveza"/>
            <w:rFonts w:ascii="Open Sans" w:hAnsi="Open Sans" w:cs="Open Sans"/>
            <w:sz w:val="22"/>
          </w:rPr>
          <w:t>https://www.digitaldubai.ae/</w:t>
        </w:r>
      </w:hyperlink>
    </w:p>
    <w:p w14:paraId="322C4C2D" w14:textId="5C0915FA"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Gassmann, O., Böhm, J., Palmié, M. (2019). </w:t>
      </w:r>
      <w:r w:rsidRPr="002A63BA">
        <w:rPr>
          <w:rFonts w:ascii="Open Sans" w:hAnsi="Open Sans" w:cs="Open Sans"/>
          <w:i/>
          <w:iCs/>
          <w:sz w:val="22"/>
        </w:rPr>
        <w:t>Smart cities: Introducing digital innovation to cities</w:t>
      </w:r>
      <w:r w:rsidRPr="002A63BA">
        <w:rPr>
          <w:rFonts w:ascii="Open Sans" w:hAnsi="Open Sans" w:cs="Open Sans"/>
          <w:sz w:val="22"/>
        </w:rPr>
        <w:t>: Emerald Group Publishing.</w:t>
      </w:r>
    </w:p>
    <w:p w14:paraId="68732280"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Ghafoor, A. (2021). The Best Ways to Reduce Food Waste in Denmark, from </w:t>
      </w:r>
      <w:hyperlink r:id="rId18" w:history="1">
        <w:r w:rsidRPr="002A63BA">
          <w:rPr>
            <w:rStyle w:val="Hiperveza"/>
            <w:rFonts w:ascii="Open Sans" w:hAnsi="Open Sans" w:cs="Open Sans"/>
            <w:sz w:val="22"/>
          </w:rPr>
          <w:t>https://www.scandinaviastandard.com/the-best-ways-to-reduce-food-waste-in-denmark/</w:t>
        </w:r>
      </w:hyperlink>
    </w:p>
    <w:p w14:paraId="23FF85A2" w14:textId="418A42FF"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Hämäläinen, M. (2020). A framework for a Smart City design: digital transformation in the Helsinki Smart City</w:t>
      </w:r>
      <w:r w:rsidR="00413DB8" w:rsidRPr="002A63BA">
        <w:rPr>
          <w:rFonts w:ascii="Open Sans" w:hAnsi="Open Sans" w:cs="Open Sans"/>
          <w:sz w:val="22"/>
        </w:rPr>
        <w:t>.</w:t>
      </w:r>
      <w:r w:rsidRPr="002A63BA">
        <w:rPr>
          <w:rFonts w:ascii="Open Sans" w:hAnsi="Open Sans" w:cs="Open Sans"/>
          <w:sz w:val="22"/>
        </w:rPr>
        <w:t xml:space="preserve"> </w:t>
      </w:r>
      <w:r w:rsidRPr="002A63BA">
        <w:rPr>
          <w:rFonts w:ascii="Open Sans" w:hAnsi="Open Sans" w:cs="Open Sans"/>
          <w:i/>
          <w:iCs/>
          <w:sz w:val="22"/>
        </w:rPr>
        <w:t>Entrepreneurship and the Community</w:t>
      </w:r>
      <w:r w:rsidRPr="002A63BA">
        <w:rPr>
          <w:rFonts w:ascii="Open Sans" w:hAnsi="Open Sans" w:cs="Open Sans"/>
          <w:sz w:val="22"/>
        </w:rPr>
        <w:t xml:space="preserve"> (pp. 63-86): Springer.</w:t>
      </w:r>
    </w:p>
    <w:p w14:paraId="1CB6585E"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Hansen, M. P. (2020). Collaborating in Europe’s leading living lab for Smart City-services: the case of Danish Outdoor Lighting Living Lab.</w:t>
      </w:r>
    </w:p>
    <w:p w14:paraId="1A68D0B0" w14:textId="184E624B"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Laufs, J., Borrion, H., Bradford, B. (2020). Security and the smart city: A systematic review. </w:t>
      </w:r>
      <w:r w:rsidRPr="002A63BA">
        <w:rPr>
          <w:rFonts w:ascii="Open Sans" w:hAnsi="Open Sans" w:cs="Open Sans"/>
          <w:i/>
          <w:iCs/>
          <w:sz w:val="22"/>
        </w:rPr>
        <w:t>Sustainable cities and society</w:t>
      </w:r>
      <w:r w:rsidRPr="002A63BA">
        <w:rPr>
          <w:rFonts w:ascii="Open Sans" w:hAnsi="Open Sans" w:cs="Open Sans"/>
          <w:sz w:val="22"/>
        </w:rPr>
        <w:t>, 55, 102023.</w:t>
      </w:r>
    </w:p>
    <w:p w14:paraId="421AAECD" w14:textId="01B9AD0D"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Lyons, G. (2018). Getting smart about urban mobility–aligning the paradigms of smart and sustainable. </w:t>
      </w:r>
      <w:r w:rsidRPr="002A63BA">
        <w:rPr>
          <w:rFonts w:ascii="Open Sans" w:hAnsi="Open Sans" w:cs="Open Sans"/>
          <w:i/>
          <w:iCs/>
          <w:sz w:val="22"/>
        </w:rPr>
        <w:t>Transportation Research Part A: Policy and Practice</w:t>
      </w:r>
      <w:r w:rsidRPr="002A63BA">
        <w:rPr>
          <w:rFonts w:ascii="Open Sans" w:hAnsi="Open Sans" w:cs="Open Sans"/>
          <w:sz w:val="22"/>
        </w:rPr>
        <w:t xml:space="preserve">, 115, </w:t>
      </w:r>
      <w:r w:rsidR="003B3312" w:rsidRPr="002A63BA">
        <w:rPr>
          <w:rFonts w:ascii="Open Sans" w:hAnsi="Open Sans" w:cs="Open Sans"/>
          <w:sz w:val="22"/>
        </w:rPr>
        <w:t xml:space="preserve">pp. </w:t>
      </w:r>
      <w:r w:rsidRPr="002A63BA">
        <w:rPr>
          <w:rFonts w:ascii="Open Sans" w:hAnsi="Open Sans" w:cs="Open Sans"/>
          <w:sz w:val="22"/>
        </w:rPr>
        <w:t>4-14.</w:t>
      </w:r>
    </w:p>
    <w:p w14:paraId="14B0D786" w14:textId="1F5B8FE4"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lastRenderedPageBreak/>
        <w:t xml:space="preserve">Musulin, K., Teale, C., Crowe, C. (2021). CES showcases 6 trends to shape smart cities in 2021. </w:t>
      </w:r>
      <w:r w:rsidRPr="002A63BA">
        <w:rPr>
          <w:rFonts w:ascii="Open Sans" w:hAnsi="Open Sans" w:cs="Open Sans"/>
          <w:i/>
          <w:iCs/>
          <w:sz w:val="22"/>
        </w:rPr>
        <w:t>Smart Cities Dive</w:t>
      </w:r>
      <w:r w:rsidRPr="002A63BA">
        <w:rPr>
          <w:rFonts w:ascii="Open Sans" w:hAnsi="Open Sans" w:cs="Open Sans"/>
          <w:sz w:val="22"/>
        </w:rPr>
        <w:t>.</w:t>
      </w:r>
    </w:p>
    <w:p w14:paraId="5F48FC7B" w14:textId="2FB63855"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Neirotti, P., De Marco, A., Cagliano, A. C., Mangano, G., Scorrano, F. (2014). Current trends in Smart City initiatives: Some stylised facts. </w:t>
      </w:r>
      <w:r w:rsidRPr="002A63BA">
        <w:rPr>
          <w:rFonts w:ascii="Open Sans" w:hAnsi="Open Sans" w:cs="Open Sans"/>
          <w:i/>
          <w:iCs/>
          <w:sz w:val="22"/>
        </w:rPr>
        <w:t>Cities</w:t>
      </w:r>
      <w:r w:rsidRPr="002A63BA">
        <w:rPr>
          <w:rFonts w:ascii="Open Sans" w:hAnsi="Open Sans" w:cs="Open Sans"/>
          <w:sz w:val="22"/>
        </w:rPr>
        <w:t xml:space="preserve">, 38, </w:t>
      </w:r>
      <w:r w:rsidR="003B3312" w:rsidRPr="002A63BA">
        <w:rPr>
          <w:rFonts w:ascii="Open Sans" w:hAnsi="Open Sans" w:cs="Open Sans"/>
          <w:sz w:val="22"/>
        </w:rPr>
        <w:t xml:space="preserve">pp. </w:t>
      </w:r>
      <w:r w:rsidRPr="002A63BA">
        <w:rPr>
          <w:rFonts w:ascii="Open Sans" w:hAnsi="Open Sans" w:cs="Open Sans"/>
          <w:sz w:val="22"/>
        </w:rPr>
        <w:t>25-36.</w:t>
      </w:r>
    </w:p>
    <w:p w14:paraId="0E0ADB7F" w14:textId="02619A34"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Noori, N., Hoppe, T., de Jong, M. (2020). Classifying pathways for Smart City development: comparing design, governance and implementation in Amsterdam, Barcelona, Dubai, and Abu Dhabi. </w:t>
      </w:r>
      <w:r w:rsidRPr="002A63BA">
        <w:rPr>
          <w:rFonts w:ascii="Open Sans" w:hAnsi="Open Sans" w:cs="Open Sans"/>
          <w:i/>
          <w:iCs/>
          <w:sz w:val="22"/>
        </w:rPr>
        <w:t>Sustainability</w:t>
      </w:r>
      <w:r w:rsidRPr="002A63BA">
        <w:rPr>
          <w:rFonts w:ascii="Open Sans" w:hAnsi="Open Sans" w:cs="Open Sans"/>
          <w:sz w:val="22"/>
        </w:rPr>
        <w:t>, 12(10), 4030.</w:t>
      </w:r>
    </w:p>
    <w:p w14:paraId="51933E53" w14:textId="1C69504E"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Praharaj, S., Han, H. (2019). Cutting through the clutter of smart city definitions: A reading into the smart city perceptions in India. </w:t>
      </w:r>
      <w:r w:rsidRPr="002A63BA">
        <w:rPr>
          <w:rFonts w:ascii="Open Sans" w:hAnsi="Open Sans" w:cs="Open Sans"/>
          <w:i/>
          <w:iCs/>
          <w:sz w:val="22"/>
        </w:rPr>
        <w:t>City, Culture and Society</w:t>
      </w:r>
      <w:r w:rsidRPr="002A63BA">
        <w:rPr>
          <w:rFonts w:ascii="Open Sans" w:hAnsi="Open Sans" w:cs="Open Sans"/>
          <w:sz w:val="22"/>
        </w:rPr>
        <w:t>, 18, 100289.</w:t>
      </w:r>
    </w:p>
    <w:p w14:paraId="18CACFEB" w14:textId="5387A10F"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Safiullin, A., Krasnyuk, L., Kapelyuk, Z. (2019). </w:t>
      </w:r>
      <w:r w:rsidRPr="002A63BA">
        <w:rPr>
          <w:rFonts w:ascii="Open Sans" w:hAnsi="Open Sans" w:cs="Open Sans"/>
          <w:i/>
          <w:iCs/>
          <w:sz w:val="22"/>
        </w:rPr>
        <w:t>Integration of Industry 4.0 technologies for “smart cities” development</w:t>
      </w:r>
      <w:r w:rsidRPr="002A63BA">
        <w:rPr>
          <w:rFonts w:ascii="Open Sans" w:hAnsi="Open Sans" w:cs="Open Sans"/>
          <w:sz w:val="22"/>
        </w:rPr>
        <w:t>. Paper presented at the IOP conference series: materials science and engineering.</w:t>
      </w:r>
    </w:p>
    <w:p w14:paraId="37973513" w14:textId="025135D2"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Sharifi, A., Allam, Z., Feizizadeh, B., Ghamari, H. (2021). Three decades of research on smart cities: Mapping knowledge structure and trends. </w:t>
      </w:r>
      <w:r w:rsidRPr="002A63BA">
        <w:rPr>
          <w:rFonts w:ascii="Open Sans" w:hAnsi="Open Sans" w:cs="Open Sans"/>
          <w:i/>
          <w:iCs/>
          <w:sz w:val="22"/>
        </w:rPr>
        <w:t>Sustainability</w:t>
      </w:r>
      <w:r w:rsidRPr="002A63BA">
        <w:rPr>
          <w:rFonts w:ascii="Open Sans" w:hAnsi="Open Sans" w:cs="Open Sans"/>
          <w:sz w:val="22"/>
        </w:rPr>
        <w:t>, 13(13), 7140.</w:t>
      </w:r>
    </w:p>
    <w:p w14:paraId="3EDBF76A" w14:textId="21728EAA"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Silva, B. N., Khan, M., Han, K. (2018). Towards sustainable smart cities: A review of trends, architectures, components, and open challenges in smart cities. </w:t>
      </w:r>
      <w:r w:rsidRPr="002A63BA">
        <w:rPr>
          <w:rFonts w:ascii="Open Sans" w:hAnsi="Open Sans" w:cs="Open Sans"/>
          <w:i/>
          <w:iCs/>
          <w:sz w:val="22"/>
        </w:rPr>
        <w:t>Sustainable Cities and Society</w:t>
      </w:r>
      <w:r w:rsidRPr="002A63BA">
        <w:rPr>
          <w:rFonts w:ascii="Open Sans" w:hAnsi="Open Sans" w:cs="Open Sans"/>
          <w:sz w:val="22"/>
        </w:rPr>
        <w:t xml:space="preserve">, 38, </w:t>
      </w:r>
      <w:r w:rsidR="00BA0335" w:rsidRPr="002A63BA">
        <w:rPr>
          <w:rFonts w:ascii="Open Sans" w:hAnsi="Open Sans" w:cs="Open Sans"/>
          <w:sz w:val="22"/>
        </w:rPr>
        <w:t xml:space="preserve">pp. </w:t>
      </w:r>
      <w:r w:rsidRPr="002A63BA">
        <w:rPr>
          <w:rFonts w:ascii="Open Sans" w:hAnsi="Open Sans" w:cs="Open Sans"/>
          <w:sz w:val="22"/>
        </w:rPr>
        <w:t>697-713.</w:t>
      </w:r>
    </w:p>
    <w:p w14:paraId="17AF6B5C" w14:textId="7777777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Smart Geneva. Innovating together for a sustainable territory, from </w:t>
      </w:r>
      <w:hyperlink r:id="rId19" w:history="1">
        <w:r w:rsidRPr="002A63BA">
          <w:rPr>
            <w:rStyle w:val="Hiperveza"/>
            <w:rFonts w:ascii="Open Sans" w:hAnsi="Open Sans" w:cs="Open Sans"/>
            <w:sz w:val="22"/>
          </w:rPr>
          <w:t>https://www.smart-geneva.ch/en/home</w:t>
        </w:r>
      </w:hyperlink>
    </w:p>
    <w:p w14:paraId="3FB677B2" w14:textId="0F14F9AD" w:rsidR="00A3320D" w:rsidRPr="002A63BA" w:rsidRDefault="00A3320D" w:rsidP="00915817">
      <w:pPr>
        <w:pStyle w:val="EndNoteBibliography"/>
        <w:numPr>
          <w:ilvl w:val="0"/>
          <w:numId w:val="2"/>
        </w:numPr>
        <w:spacing w:after="0" w:line="276" w:lineRule="auto"/>
        <w:ind w:left="357" w:hanging="357"/>
        <w:rPr>
          <w:rStyle w:val="Hiperveza"/>
          <w:rFonts w:ascii="Open Sans" w:hAnsi="Open Sans" w:cs="Open Sans"/>
          <w:sz w:val="22"/>
        </w:rPr>
      </w:pPr>
      <w:r w:rsidRPr="002A63BA">
        <w:rPr>
          <w:rFonts w:ascii="Open Sans" w:hAnsi="Open Sans" w:cs="Open Sans"/>
          <w:sz w:val="22"/>
        </w:rPr>
        <w:t xml:space="preserve">Smith, L. (2018). Smart City Portrait: Barcelona. </w:t>
      </w:r>
      <w:r w:rsidR="00BA0335" w:rsidRPr="002A63BA">
        <w:rPr>
          <w:rFonts w:ascii="Open Sans" w:hAnsi="Open Sans" w:cs="Open Sans"/>
          <w:sz w:val="22"/>
        </w:rPr>
        <w:t xml:space="preserve">Available at: </w:t>
      </w:r>
      <w:r w:rsidRPr="002A63BA">
        <w:rPr>
          <w:rFonts w:ascii="Open Sans" w:hAnsi="Open Sans" w:cs="Open Sans"/>
          <w:sz w:val="22"/>
        </w:rPr>
        <w:t xml:space="preserve"> </w:t>
      </w:r>
      <w:hyperlink r:id="rId20" w:history="1">
        <w:r w:rsidRPr="002A63BA">
          <w:rPr>
            <w:rStyle w:val="Hiperveza"/>
            <w:rFonts w:ascii="Open Sans" w:hAnsi="Open Sans" w:cs="Open Sans"/>
            <w:sz w:val="22"/>
          </w:rPr>
          <w:t>https://hub.beesmart.city/city-portraits/smart-city-portrait-barcelona</w:t>
        </w:r>
      </w:hyperlink>
    </w:p>
    <w:p w14:paraId="561AC83F" w14:textId="4F9BCB16"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Tomás, J. P. (2017). Smart city case study: Copenhagen takes on waste, lighting, air quality. </w:t>
      </w:r>
      <w:r w:rsidR="00BA0335" w:rsidRPr="002A63BA">
        <w:rPr>
          <w:rFonts w:ascii="Open Sans" w:hAnsi="Open Sans" w:cs="Open Sans"/>
          <w:sz w:val="22"/>
        </w:rPr>
        <w:t>Available at:</w:t>
      </w:r>
      <w:r w:rsidRPr="002A63BA">
        <w:rPr>
          <w:rFonts w:ascii="Open Sans" w:hAnsi="Open Sans" w:cs="Open Sans"/>
          <w:sz w:val="22"/>
        </w:rPr>
        <w:t xml:space="preserve"> </w:t>
      </w:r>
      <w:hyperlink r:id="rId21" w:history="1">
        <w:r w:rsidRPr="002A63BA">
          <w:rPr>
            <w:rStyle w:val="Hiperveza"/>
            <w:rFonts w:ascii="Open Sans" w:hAnsi="Open Sans" w:cs="Open Sans"/>
            <w:sz w:val="22"/>
          </w:rPr>
          <w:t>https://enterpriseiotinsights.com/20170420/smart-cities/smart-city-case-study-copenhagen-tag23-tag99</w:t>
        </w:r>
      </w:hyperlink>
    </w:p>
    <w:p w14:paraId="5C80F7E5" w14:textId="463C3D6E"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Tuballa, M. L., Abundo, M. L. (2016). A review of the development of Smart Grid technologies. </w:t>
      </w:r>
      <w:r w:rsidRPr="002A63BA">
        <w:rPr>
          <w:rFonts w:ascii="Open Sans" w:hAnsi="Open Sans" w:cs="Open Sans"/>
          <w:i/>
          <w:iCs/>
          <w:sz w:val="22"/>
        </w:rPr>
        <w:t>Renewable and Sustainable Energy Reviews</w:t>
      </w:r>
      <w:r w:rsidRPr="002A63BA">
        <w:rPr>
          <w:rFonts w:ascii="Open Sans" w:hAnsi="Open Sans" w:cs="Open Sans"/>
          <w:sz w:val="22"/>
        </w:rPr>
        <w:t xml:space="preserve">, 59, </w:t>
      </w:r>
      <w:r w:rsidR="0002547F" w:rsidRPr="002A63BA">
        <w:rPr>
          <w:rFonts w:ascii="Open Sans" w:hAnsi="Open Sans" w:cs="Open Sans"/>
          <w:sz w:val="22"/>
        </w:rPr>
        <w:t xml:space="preserve">pp. </w:t>
      </w:r>
      <w:r w:rsidRPr="002A63BA">
        <w:rPr>
          <w:rFonts w:ascii="Open Sans" w:hAnsi="Open Sans" w:cs="Open Sans"/>
          <w:sz w:val="22"/>
        </w:rPr>
        <w:t>710-725.</w:t>
      </w:r>
    </w:p>
    <w:p w14:paraId="4E21BBC1" w14:textId="3F0C79F2" w:rsidR="00682AFE" w:rsidRPr="002A63BA" w:rsidRDefault="00682AFE" w:rsidP="00915817">
      <w:pPr>
        <w:pStyle w:val="EndNoteBibliography"/>
        <w:numPr>
          <w:ilvl w:val="0"/>
          <w:numId w:val="2"/>
        </w:numPr>
        <w:spacing w:after="0" w:line="276" w:lineRule="auto"/>
        <w:ind w:left="357" w:hanging="357"/>
        <w:rPr>
          <w:rFonts w:ascii="Open Sans" w:hAnsi="Open Sans" w:cs="Open Sans"/>
          <w:sz w:val="22"/>
        </w:rPr>
      </w:pPr>
      <w:r w:rsidRPr="002A63BA">
        <w:rPr>
          <w:rStyle w:val="normaltextrun"/>
          <w:rFonts w:ascii="Open Sans" w:hAnsi="Open Sans" w:cs="Open Sans"/>
          <w:color w:val="000000"/>
          <w:sz w:val="22"/>
          <w:shd w:val="clear" w:color="auto" w:fill="FFFFFF"/>
          <w:lang w:val="en-GB"/>
        </w:rPr>
        <w:t xml:space="preserve">United Nations. (2020). World Cities Report 2020: The value of sustainable urbanization. </w:t>
      </w:r>
      <w:r w:rsidRPr="002A63BA">
        <w:rPr>
          <w:rStyle w:val="eop"/>
          <w:rFonts w:ascii="Open Sans" w:hAnsi="Open Sans" w:cs="Open Sans"/>
          <w:color w:val="000000"/>
          <w:sz w:val="22"/>
          <w:shd w:val="clear" w:color="auto" w:fill="FFFFFF"/>
        </w:rPr>
        <w:t> </w:t>
      </w:r>
    </w:p>
    <w:p w14:paraId="5AB2F251" w14:textId="2A16CC4F"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lastRenderedPageBreak/>
        <w:t xml:space="preserve">Urban Hub. (2018). Smart city 3.0 – Ask Barcelona about the next generation of smart cities. </w:t>
      </w:r>
      <w:r w:rsidR="0002547F" w:rsidRPr="002A63BA">
        <w:rPr>
          <w:rFonts w:ascii="Open Sans" w:hAnsi="Open Sans" w:cs="Open Sans"/>
          <w:sz w:val="22"/>
        </w:rPr>
        <w:t>Available at:</w:t>
      </w:r>
      <w:r w:rsidRPr="002A63BA">
        <w:rPr>
          <w:rFonts w:ascii="Open Sans" w:hAnsi="Open Sans" w:cs="Open Sans"/>
          <w:sz w:val="22"/>
        </w:rPr>
        <w:t xml:space="preserve"> </w:t>
      </w:r>
      <w:hyperlink r:id="rId22" w:history="1">
        <w:r w:rsidRPr="002A63BA">
          <w:rPr>
            <w:rStyle w:val="Hiperveza"/>
            <w:rFonts w:ascii="Open Sans" w:hAnsi="Open Sans" w:cs="Open Sans"/>
            <w:sz w:val="22"/>
          </w:rPr>
          <w:t>https://www.urban-hub.com/cities/smart-city-3-0-ask-barcelona-about-the-next-generation-of-smart-cities/</w:t>
        </w:r>
      </w:hyperlink>
    </w:p>
    <w:p w14:paraId="1E06FD5F" w14:textId="77777777" w:rsidR="00A3320D" w:rsidRPr="002A63BA" w:rsidRDefault="00A3320D" w:rsidP="00915817">
      <w:pPr>
        <w:pStyle w:val="EndNoteBibliography"/>
        <w:numPr>
          <w:ilvl w:val="0"/>
          <w:numId w:val="2"/>
        </w:numPr>
        <w:spacing w:after="0" w:line="276" w:lineRule="auto"/>
        <w:ind w:left="357" w:hanging="357"/>
        <w:rPr>
          <w:rStyle w:val="Hiperveza"/>
          <w:rFonts w:ascii="Open Sans" w:hAnsi="Open Sans" w:cs="Open Sans"/>
          <w:sz w:val="22"/>
        </w:rPr>
      </w:pPr>
      <w:r w:rsidRPr="002A63BA">
        <w:rPr>
          <w:rFonts w:ascii="Open Sans" w:hAnsi="Open Sans" w:cs="Open Sans"/>
          <w:sz w:val="22"/>
        </w:rPr>
        <w:t xml:space="preserve">Utrecht University. (2021). Project Air View measurements result in hyperlocal map of air quality in Copenhagen, from </w:t>
      </w:r>
      <w:hyperlink r:id="rId23" w:history="1">
        <w:r w:rsidRPr="002A63BA">
          <w:rPr>
            <w:rStyle w:val="Hiperveza"/>
            <w:rFonts w:ascii="Open Sans" w:hAnsi="Open Sans" w:cs="Open Sans"/>
            <w:sz w:val="22"/>
          </w:rPr>
          <w:t>https://www.uu.nl/en/news/project-air-view-measurements-result-in-hyperlocal-map-of-air-quality-in-copenhagen</w:t>
        </w:r>
      </w:hyperlink>
    </w:p>
    <w:p w14:paraId="0D32E73A" w14:textId="2DBF29B7" w:rsidR="00A3320D" w:rsidRPr="002A63BA" w:rsidRDefault="00A3320D" w:rsidP="00915817">
      <w:pPr>
        <w:pStyle w:val="EndNoteBibliography"/>
        <w:numPr>
          <w:ilvl w:val="0"/>
          <w:numId w:val="2"/>
        </w:numPr>
        <w:spacing w:after="0" w:line="276" w:lineRule="auto"/>
        <w:ind w:left="357" w:hanging="357"/>
        <w:rPr>
          <w:rFonts w:ascii="Open Sans" w:hAnsi="Open Sans" w:cs="Open Sans"/>
          <w:sz w:val="22"/>
        </w:rPr>
      </w:pPr>
      <w:r w:rsidRPr="002A63BA">
        <w:rPr>
          <w:rFonts w:ascii="Open Sans" w:hAnsi="Open Sans" w:cs="Open Sans"/>
          <w:sz w:val="22"/>
        </w:rPr>
        <w:t xml:space="preserve">Veen, E. (2016). Climate street (Klimaatstraat). Amsterdam Smart City, from </w:t>
      </w:r>
      <w:hyperlink r:id="rId24" w:history="1">
        <w:r w:rsidRPr="002A63BA">
          <w:rPr>
            <w:rStyle w:val="Hiperveza"/>
            <w:rFonts w:ascii="Open Sans" w:hAnsi="Open Sans" w:cs="Open Sans"/>
            <w:sz w:val="22"/>
          </w:rPr>
          <w:t>https://amsterdamsmartcity.com/updates/project/climate-street</w:t>
        </w:r>
      </w:hyperlink>
    </w:p>
    <w:p w14:paraId="74DD5B02" w14:textId="77777777" w:rsidR="00A3320D" w:rsidRPr="002A63BA" w:rsidRDefault="00A3320D" w:rsidP="00915817">
      <w:pPr>
        <w:pStyle w:val="EndNoteBibliography"/>
        <w:numPr>
          <w:ilvl w:val="0"/>
          <w:numId w:val="2"/>
        </w:numPr>
        <w:spacing w:line="276" w:lineRule="auto"/>
        <w:ind w:left="357" w:hanging="357"/>
        <w:rPr>
          <w:rFonts w:ascii="Open Sans" w:hAnsi="Open Sans" w:cs="Open Sans"/>
          <w:sz w:val="22"/>
        </w:rPr>
      </w:pPr>
      <w:r w:rsidRPr="002A63BA">
        <w:rPr>
          <w:rFonts w:ascii="Open Sans" w:hAnsi="Open Sans" w:cs="Open Sans"/>
          <w:sz w:val="22"/>
        </w:rPr>
        <w:t>Wray, S. (2021). Why the City of Amsterdam developed its own crowd monitoring technology: Cities Today.</w:t>
      </w:r>
    </w:p>
    <w:p w14:paraId="0BFDE38D" w14:textId="7A23DE74" w:rsidR="003C22BF" w:rsidRPr="002A63BA" w:rsidRDefault="00A3320D" w:rsidP="00915817">
      <w:pPr>
        <w:pStyle w:val="Naslov1"/>
        <w:spacing w:line="276" w:lineRule="auto"/>
        <w:rPr>
          <w:rFonts w:ascii="Open Sans" w:hAnsi="Open Sans" w:cs="Open Sans"/>
        </w:rPr>
      </w:pPr>
      <w:r w:rsidRPr="002A63BA">
        <w:rPr>
          <w:rFonts w:ascii="Open Sans" w:hAnsi="Open Sans" w:cs="Open Sans"/>
          <w:sz w:val="22"/>
          <w:szCs w:val="22"/>
        </w:rPr>
        <w:fldChar w:fldCharType="end"/>
      </w:r>
      <w:r w:rsidR="003C22BF" w:rsidRPr="002A63BA">
        <w:rPr>
          <w:rFonts w:ascii="Open Sans" w:hAnsi="Open Sans" w:cs="Open Sans"/>
        </w:rPr>
        <w:br w:type="page"/>
      </w:r>
    </w:p>
    <w:p w14:paraId="67850785" w14:textId="64F7FE39" w:rsidR="003C22BF" w:rsidRPr="002A63BA" w:rsidRDefault="003C22BF" w:rsidP="00FF3EE4">
      <w:pPr>
        <w:spacing w:line="276" w:lineRule="auto"/>
        <w:rPr>
          <w:rFonts w:ascii="Open Sans" w:hAnsi="Open Sans" w:cs="Open Sans"/>
        </w:rPr>
      </w:pPr>
    </w:p>
    <w:p w14:paraId="18E0AB39" w14:textId="77777777" w:rsidR="003C22BF" w:rsidRPr="002A63BA" w:rsidRDefault="003C22BF" w:rsidP="00FF3EE4">
      <w:pPr>
        <w:spacing w:line="276" w:lineRule="auto"/>
        <w:jc w:val="left"/>
        <w:rPr>
          <w:rFonts w:ascii="Open Sans" w:hAnsi="Open Sans" w:cs="Open Sans"/>
        </w:rPr>
      </w:pPr>
      <w:r w:rsidRPr="002A63BA">
        <w:rPr>
          <w:rFonts w:ascii="Open Sans" w:hAnsi="Open Sans" w:cs="Open Sans"/>
        </w:rPr>
        <w:br w:type="page"/>
      </w:r>
    </w:p>
    <w:p w14:paraId="16E0C250" w14:textId="7B411D7A" w:rsidR="003C22BF" w:rsidRPr="00915817" w:rsidRDefault="003C22BF" w:rsidP="00915817">
      <w:pPr>
        <w:spacing w:line="276" w:lineRule="auto"/>
        <w:jc w:val="center"/>
        <w:rPr>
          <w:rFonts w:ascii="Open Sans" w:hAnsi="Open Sans" w:cs="Open Sans"/>
          <w:b/>
          <w:iCs/>
          <w:caps/>
          <w:sz w:val="24"/>
        </w:rPr>
      </w:pPr>
      <w:r w:rsidRPr="002A63BA">
        <w:rPr>
          <w:rFonts w:ascii="Open Sans" w:hAnsi="Open Sans" w:cs="Open Sans"/>
          <w:b/>
          <w:iCs/>
          <w:caps/>
          <w:sz w:val="24"/>
        </w:rPr>
        <w:lastRenderedPageBreak/>
        <w:t>Anticipatory Governance and Foresight: State of the Art and Implications for Urban Development</w:t>
      </w:r>
    </w:p>
    <w:p w14:paraId="478B310F" w14:textId="77777777" w:rsidR="003C22BF" w:rsidRPr="002A63BA" w:rsidRDefault="003C22BF" w:rsidP="00FF3EE4">
      <w:pPr>
        <w:pStyle w:val="N1"/>
      </w:pPr>
      <w:r w:rsidRPr="002A63BA">
        <w:t>Introduction</w:t>
      </w:r>
    </w:p>
    <w:p w14:paraId="41E5D68E"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In today’s world, the only continuous thing is </w:t>
      </w:r>
      <w:r w:rsidRPr="002A63BA">
        <w:rPr>
          <w:rFonts w:ascii="Open Sans" w:hAnsi="Open Sans" w:cs="Open Sans"/>
          <w:b/>
          <w:iCs/>
        </w:rPr>
        <w:t>change</w:t>
      </w:r>
      <w:r w:rsidRPr="002A63BA">
        <w:rPr>
          <w:rFonts w:ascii="Open Sans" w:hAnsi="Open Sans" w:cs="Open Sans"/>
          <w:iCs/>
        </w:rPr>
        <w:t xml:space="preserve">. The changes can happen slowly over a certain period of time, but can happen rapidly and unpredictably; their speed of occurrence, intensity, predictability and effects may vary significantly on all levels including local and global ones, in governmental and corporate environments. Governments and governmental institutions identified a need to prepare for future changes that bring threats and opportunities (Ramos, 2017), and for this reason, they increasingly started to (re)consider the future in their policy- and decision-making. </w:t>
      </w:r>
    </w:p>
    <w:p w14:paraId="2964D1B7" w14:textId="77777777" w:rsidR="003C22BF" w:rsidRPr="002A63BA" w:rsidRDefault="003C22BF" w:rsidP="00FF3EE4">
      <w:pPr>
        <w:spacing w:after="0" w:line="276" w:lineRule="auto"/>
        <w:rPr>
          <w:rFonts w:ascii="Open Sans" w:hAnsi="Open Sans" w:cs="Open Sans"/>
          <w:iCs/>
        </w:rPr>
      </w:pPr>
    </w:p>
    <w:p w14:paraId="1BCE21F0"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Focusing on the cities, it is important to create agile city policy-making in order to deal with the occurring and future changes that are difficult to forecast. Ramos (2014) and other authors find it crucial to incorporate </w:t>
      </w:r>
      <w:r w:rsidRPr="002A63BA">
        <w:rPr>
          <w:rFonts w:ascii="Open Sans" w:hAnsi="Open Sans" w:cs="Open Sans"/>
          <w:b/>
          <w:iCs/>
        </w:rPr>
        <w:t>complexity</w:t>
      </w:r>
      <w:r w:rsidRPr="002A63BA">
        <w:rPr>
          <w:rFonts w:ascii="Open Sans" w:hAnsi="Open Sans" w:cs="Open Sans"/>
          <w:iCs/>
        </w:rPr>
        <w:t xml:space="preserve"> into future studies’ approaches, which are considered as the systematic application of foresight - important to understand and incorporate the change. Deriving this approach at a practical level, would allow the city’s policies to be proactive, adaptive, and driven toward the preferred future, as opposed to reactive and misguided policies (Ramos, 2017), the ones where future happenings are not considered. </w:t>
      </w:r>
    </w:p>
    <w:p w14:paraId="4DF8C077" w14:textId="77777777" w:rsidR="003C22BF" w:rsidRPr="002A63BA" w:rsidRDefault="003C22BF" w:rsidP="00FF3EE4">
      <w:pPr>
        <w:spacing w:after="0" w:line="276" w:lineRule="auto"/>
        <w:rPr>
          <w:rFonts w:ascii="Open Sans" w:hAnsi="Open Sans" w:cs="Open Sans"/>
          <w:iCs/>
        </w:rPr>
      </w:pPr>
    </w:p>
    <w:p w14:paraId="5AFC6B9F"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Foresight as future-intelligence-gathering (Kienegger, 2015) needs governance, which has been tested and combined with different approaches and traditions (e.g. technological forecasting or anticipatory democracy) that link foresight and governance (Ramos, 2014). The latest solution according to the most recent literature is seen in </w:t>
      </w:r>
      <w:r w:rsidRPr="002A63BA">
        <w:rPr>
          <w:rFonts w:ascii="Open Sans" w:hAnsi="Open Sans" w:cs="Open Sans"/>
          <w:b/>
          <w:iCs/>
        </w:rPr>
        <w:t>anticipatory governance</w:t>
      </w:r>
      <w:r w:rsidRPr="002A63BA">
        <w:rPr>
          <w:rFonts w:ascii="Open Sans" w:hAnsi="Open Sans" w:cs="Open Sans"/>
          <w:iCs/>
        </w:rPr>
        <w:t xml:space="preserve"> that seeks to understand and shape the changes expected in the future by incorporating knowledge about the future in policies and decision making, in this way trying to proactively impact the long-term implications of its policies and decisions. Citizens’ involvement is crucial </w:t>
      </w:r>
      <w:r w:rsidRPr="002A63BA">
        <w:rPr>
          <w:rFonts w:ascii="Open Sans" w:hAnsi="Open Sans" w:cs="Open Sans"/>
          <w:iCs/>
        </w:rPr>
        <w:lastRenderedPageBreak/>
        <w:t>in creating the knowledge base that can raise awareness of the change (Ramos, 2014).</w:t>
      </w:r>
    </w:p>
    <w:p w14:paraId="20B99D2A" w14:textId="77777777" w:rsidR="003C22BF" w:rsidRPr="002A63BA" w:rsidRDefault="003C22BF" w:rsidP="00FF3EE4">
      <w:pPr>
        <w:spacing w:after="0" w:line="276" w:lineRule="auto"/>
        <w:rPr>
          <w:rFonts w:ascii="Open Sans" w:hAnsi="Open Sans" w:cs="Open Sans"/>
          <w:iCs/>
        </w:rPr>
      </w:pPr>
    </w:p>
    <w:p w14:paraId="0BCF050A"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Anticipatory governance is a relatively novel and under-researched concept as can be seen by the results of the Scopus database search done in March 2021 for “anticipatory governance” as per article title, abstract or keywords search criteria. The total of 37 results in three subject areas of: Business, management &amp; accounting, Economics, econometrics and finance and Multidisciplinary studies shows that this topic has been insufficiently explored by the researchers in these disciplines, as opposed to 142 results incorporating all subject areas (including biology, mathematics, technology, etc.). Graph 1 shows the rising trend in anticipatory governance research in recent years. </w:t>
      </w:r>
    </w:p>
    <w:p w14:paraId="20010DA0"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noProof/>
          <w:lang w:val="hr-HR" w:eastAsia="hr-HR"/>
        </w:rPr>
        <w:drawing>
          <wp:inline distT="0" distB="0" distL="0" distR="0" wp14:anchorId="18BB199E" wp14:editId="5CD273A0">
            <wp:extent cx="4584700" cy="2755900"/>
            <wp:effectExtent l="0" t="0" r="6350" b="635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4584700" cy="2755900"/>
                    </a:xfrm>
                    <a:prstGeom prst="rect">
                      <a:avLst/>
                    </a:prstGeom>
                    <a:noFill/>
                  </pic:spPr>
                </pic:pic>
              </a:graphicData>
            </a:graphic>
          </wp:inline>
        </w:drawing>
      </w:r>
    </w:p>
    <w:p w14:paraId="6374876B"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Graph 1: </w:t>
      </w:r>
      <w:r w:rsidRPr="002A63BA">
        <w:rPr>
          <w:rFonts w:ascii="Open Sans" w:hAnsi="Open Sans" w:cs="Open Sans"/>
          <w:i/>
        </w:rPr>
        <w:t>Number (#) of research papers in Scopus database on the topic of anticipatory governance</w:t>
      </w:r>
      <w:r w:rsidRPr="002A63BA">
        <w:rPr>
          <w:rFonts w:ascii="Open Sans" w:hAnsi="Open Sans" w:cs="Open Sans"/>
          <w:iCs/>
        </w:rPr>
        <w:t xml:space="preserve"> (made by author)</w:t>
      </w:r>
    </w:p>
    <w:p w14:paraId="087BFAFA" w14:textId="77777777" w:rsidR="003C22BF" w:rsidRPr="002A63BA" w:rsidRDefault="003C22BF" w:rsidP="00FF3EE4">
      <w:pPr>
        <w:spacing w:after="0" w:line="276" w:lineRule="auto"/>
        <w:rPr>
          <w:rFonts w:ascii="Open Sans" w:hAnsi="Open Sans" w:cs="Open Sans"/>
          <w:iCs/>
        </w:rPr>
      </w:pPr>
    </w:p>
    <w:p w14:paraId="1757F9E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The purpose of this paper is to present an overview of the anticipatory governance and foresight research through the state of the art review of its definitions, forms, tools, and practices, with a special focus on implications for cities i.e. urban development. </w:t>
      </w:r>
    </w:p>
    <w:p w14:paraId="251AC56C" w14:textId="77777777" w:rsidR="003C22BF" w:rsidRPr="002A63BA" w:rsidRDefault="003C22BF" w:rsidP="00FF3EE4">
      <w:pPr>
        <w:spacing w:after="0" w:line="276" w:lineRule="auto"/>
        <w:rPr>
          <w:rFonts w:ascii="Open Sans" w:hAnsi="Open Sans" w:cs="Open Sans"/>
          <w:iCs/>
        </w:rPr>
      </w:pPr>
    </w:p>
    <w:p w14:paraId="0F14840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lastRenderedPageBreak/>
        <w:t xml:space="preserve">The overall need for this study is identified in bridging the gap in the literature by focusing on anticipatory governance (a type of governance that includes foresight and citizen participation) which is overlooked by the more popular concept of smart city governance with overly technocratic tendencies of the topic (Ramos, 2017). Smart city management shows more than twice as high popularity. The popularity of the concept can be observed by the Scopus database search conducted in April 2021, which brought 321 results in all areas and 51 results in three previously selected areas as described above. Although smart city governance means “better outcomes and more open governance processes” (Meijer and Rodríguez-Bolívar, 2016, p. 392) through the new ways of information and communication technologies (ICT) and human collaboration, it neglects to incorporate the future dimension in its planning processes, unlike anticipatory governance. </w:t>
      </w:r>
    </w:p>
    <w:p w14:paraId="211A8299" w14:textId="77777777" w:rsidR="003C22BF" w:rsidRPr="002A63BA" w:rsidRDefault="003C22BF" w:rsidP="00FF3EE4">
      <w:pPr>
        <w:spacing w:after="0" w:line="276" w:lineRule="auto"/>
        <w:rPr>
          <w:rFonts w:ascii="Open Sans" w:hAnsi="Open Sans" w:cs="Open Sans"/>
          <w:iCs/>
        </w:rPr>
      </w:pPr>
    </w:p>
    <w:p w14:paraId="1110F0F1"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The aim of the study includes:</w:t>
      </w:r>
    </w:p>
    <w:p w14:paraId="51F7FA5B" w14:textId="77777777" w:rsidR="003C22BF" w:rsidRPr="002A63BA" w:rsidRDefault="003C22BF" w:rsidP="00FF3EE4">
      <w:pPr>
        <w:pStyle w:val="Odlomakpopisa"/>
        <w:numPr>
          <w:ilvl w:val="0"/>
          <w:numId w:val="4"/>
        </w:numPr>
        <w:spacing w:after="0" w:line="276" w:lineRule="auto"/>
        <w:rPr>
          <w:rFonts w:ascii="Open Sans" w:hAnsi="Open Sans" w:cs="Open Sans"/>
          <w:iCs/>
        </w:rPr>
      </w:pPr>
      <w:r w:rsidRPr="002A63BA">
        <w:rPr>
          <w:rFonts w:ascii="Open Sans" w:hAnsi="Open Sans" w:cs="Open Sans"/>
          <w:iCs/>
        </w:rPr>
        <w:t>Defining the anticipatory governance (AG) in a broad context;</w:t>
      </w:r>
    </w:p>
    <w:p w14:paraId="314C66BA" w14:textId="77777777" w:rsidR="003C22BF" w:rsidRPr="002A63BA" w:rsidRDefault="003C22BF" w:rsidP="00FF3EE4">
      <w:pPr>
        <w:pStyle w:val="Odlomakpopisa"/>
        <w:numPr>
          <w:ilvl w:val="0"/>
          <w:numId w:val="4"/>
        </w:numPr>
        <w:spacing w:after="0" w:line="276" w:lineRule="auto"/>
        <w:rPr>
          <w:rFonts w:ascii="Open Sans" w:hAnsi="Open Sans" w:cs="Open Sans"/>
          <w:iCs/>
        </w:rPr>
      </w:pPr>
      <w:r w:rsidRPr="002A63BA">
        <w:rPr>
          <w:rFonts w:ascii="Open Sans" w:hAnsi="Open Sans" w:cs="Open Sans"/>
          <w:iCs/>
        </w:rPr>
        <w:t>Explaining the evolution of the term AG, its precedent approaches, and components;</w:t>
      </w:r>
    </w:p>
    <w:p w14:paraId="5B0DB619" w14:textId="77777777" w:rsidR="003C22BF" w:rsidRPr="002A63BA" w:rsidRDefault="003C22BF" w:rsidP="00FF3EE4">
      <w:pPr>
        <w:pStyle w:val="Odlomakpopisa"/>
        <w:numPr>
          <w:ilvl w:val="0"/>
          <w:numId w:val="4"/>
        </w:numPr>
        <w:spacing w:after="0" w:line="276" w:lineRule="auto"/>
        <w:rPr>
          <w:rFonts w:ascii="Open Sans" w:hAnsi="Open Sans" w:cs="Open Sans"/>
          <w:iCs/>
        </w:rPr>
      </w:pPr>
      <w:r w:rsidRPr="002A63BA">
        <w:rPr>
          <w:rFonts w:ascii="Open Sans" w:hAnsi="Open Sans" w:cs="Open Sans"/>
          <w:iCs/>
        </w:rPr>
        <w:t>Presenting foresight and identifying (participatory) foresight methods important to urban development context;</w:t>
      </w:r>
    </w:p>
    <w:p w14:paraId="380FD6B1" w14:textId="77777777" w:rsidR="003C22BF" w:rsidRPr="002A63BA" w:rsidRDefault="003C22BF" w:rsidP="00FF3EE4">
      <w:pPr>
        <w:pStyle w:val="Odlomakpopisa"/>
        <w:numPr>
          <w:ilvl w:val="0"/>
          <w:numId w:val="4"/>
        </w:numPr>
        <w:spacing w:after="0" w:line="276" w:lineRule="auto"/>
        <w:rPr>
          <w:rFonts w:ascii="Open Sans" w:hAnsi="Open Sans" w:cs="Open Sans"/>
          <w:iCs/>
        </w:rPr>
      </w:pPr>
      <w:r w:rsidRPr="002A63BA">
        <w:rPr>
          <w:rFonts w:ascii="Open Sans" w:hAnsi="Open Sans" w:cs="Open Sans"/>
          <w:iCs/>
        </w:rPr>
        <w:t>Discussing and identifying the future research directions of the topic, with a special focus on urban development implications.</w:t>
      </w:r>
    </w:p>
    <w:p w14:paraId="52AC1692" w14:textId="77777777" w:rsidR="003C22BF" w:rsidRPr="002A63BA" w:rsidRDefault="003C22BF" w:rsidP="00FF3EE4">
      <w:pPr>
        <w:spacing w:after="0" w:line="276" w:lineRule="auto"/>
        <w:rPr>
          <w:rFonts w:ascii="Open Sans" w:hAnsi="Open Sans" w:cs="Open Sans"/>
          <w:iCs/>
        </w:rPr>
      </w:pPr>
    </w:p>
    <w:p w14:paraId="004D0430" w14:textId="44D8112D"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The other sections of the paper are organized as follows: Section 2 provides a historical overview and brief evolution of the anticipatory governance research; it lists various definitions formulated by previous studies, AG components and founding concepts. Section 3 introduces foresight and its most common methods while focusing on participatory methods used in an urban context. Section 4 discusses institutional use of anticipatory governance and foresight, simultaneously describing recent governmental and EU institutional agenda for policymaking. It also introduces AG and foresight implications for urban development, along </w:t>
      </w:r>
      <w:r w:rsidRPr="002A63BA">
        <w:rPr>
          <w:rFonts w:ascii="Open Sans" w:hAnsi="Open Sans" w:cs="Open Sans"/>
          <w:iCs/>
        </w:rPr>
        <w:lastRenderedPageBreak/>
        <w:t xml:space="preserve">with possible future actions and research. Section 5 concludes this seminar paper. </w:t>
      </w:r>
    </w:p>
    <w:p w14:paraId="78046DD1" w14:textId="3017C45D" w:rsidR="003C22BF" w:rsidRPr="0069311F" w:rsidRDefault="003C22BF" w:rsidP="00FF3EE4">
      <w:pPr>
        <w:pStyle w:val="N1"/>
      </w:pPr>
      <w:r w:rsidRPr="002A63BA">
        <w:t>Theoretical background: Defining anticipatory governance</w:t>
      </w:r>
    </w:p>
    <w:p w14:paraId="5CF5F52B" w14:textId="37D7ACA5"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 xml:space="preserve">Historical development and evolution of the anticipatory governance research </w:t>
      </w:r>
    </w:p>
    <w:p w14:paraId="62CB516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To get a better understanding of the term anticipatory governance, its genealogy is to be studied. The word “anticipation” originates from the Latin prefix ante-, meaning “before”, as well as “concerning to position, order, or time”. Latin word capere means “capable”, “capacity”, “to take into possession”. For this reason, practice i.e. exercise is central to anticipatory governance (Guston, 2014) as anticipation is about practicing/exercising a capacity for future purposes. However, according to Guston (2014), anticipatory governance is more than practice as it includes three different </w:t>
      </w:r>
      <w:r w:rsidRPr="002A63BA">
        <w:rPr>
          <w:rFonts w:ascii="Open Sans" w:hAnsi="Open Sans" w:cs="Open Sans"/>
          <w:b/>
          <w:iCs/>
        </w:rPr>
        <w:t>capacities</w:t>
      </w:r>
      <w:r w:rsidRPr="002A63BA">
        <w:rPr>
          <w:rFonts w:ascii="Open Sans" w:hAnsi="Open Sans" w:cs="Open Sans"/>
          <w:iCs/>
        </w:rPr>
        <w:t xml:space="preserve"> defined by Barben et al. (2008). These are: 1) </w:t>
      </w:r>
      <w:r w:rsidRPr="002A63BA">
        <w:rPr>
          <w:rFonts w:ascii="Open Sans" w:hAnsi="Open Sans" w:cs="Open Sans"/>
          <w:b/>
          <w:iCs/>
        </w:rPr>
        <w:t>foresight</w:t>
      </w:r>
      <w:r w:rsidRPr="002A63BA">
        <w:rPr>
          <w:rFonts w:ascii="Open Sans" w:hAnsi="Open Sans" w:cs="Open Sans"/>
          <w:iCs/>
        </w:rPr>
        <w:t xml:space="preserve"> as a pluralist approach that seeks multiple futures, 2) </w:t>
      </w:r>
      <w:r w:rsidRPr="002A63BA">
        <w:rPr>
          <w:rFonts w:ascii="Open Sans" w:hAnsi="Open Sans" w:cs="Open Sans"/>
          <w:b/>
          <w:iCs/>
        </w:rPr>
        <w:t>engagement</w:t>
      </w:r>
      <w:r w:rsidRPr="002A63BA">
        <w:rPr>
          <w:rFonts w:ascii="Open Sans" w:hAnsi="Open Sans" w:cs="Open Sans"/>
          <w:iCs/>
        </w:rPr>
        <w:t xml:space="preserve"> as encouragement of exchange of ideas between different stakeholders, and 3) </w:t>
      </w:r>
      <w:r w:rsidRPr="002A63BA">
        <w:rPr>
          <w:rFonts w:ascii="Open Sans" w:hAnsi="Open Sans" w:cs="Open Sans"/>
          <w:b/>
          <w:iCs/>
        </w:rPr>
        <w:t>integration</w:t>
      </w:r>
      <w:r w:rsidRPr="002A63BA">
        <w:rPr>
          <w:rFonts w:ascii="Open Sans" w:hAnsi="Open Sans" w:cs="Open Sans"/>
          <w:iCs/>
        </w:rPr>
        <w:t xml:space="preserve"> as overcoming the divide and creating the opportunities to develop the long-term capacity building. </w:t>
      </w:r>
    </w:p>
    <w:p w14:paraId="2CFED401" w14:textId="77777777" w:rsidR="003C22BF" w:rsidRPr="002A63BA" w:rsidRDefault="003C22BF" w:rsidP="00FF3EE4">
      <w:pPr>
        <w:spacing w:after="0" w:line="276" w:lineRule="auto"/>
        <w:rPr>
          <w:rFonts w:ascii="Open Sans" w:hAnsi="Open Sans" w:cs="Open Sans"/>
          <w:iCs/>
        </w:rPr>
      </w:pPr>
    </w:p>
    <w:p w14:paraId="2379A68C" w14:textId="313145CC" w:rsidR="007C3C4B" w:rsidRDefault="003C22BF" w:rsidP="00FF3EE4">
      <w:pPr>
        <w:spacing w:after="0" w:line="276" w:lineRule="auto"/>
        <w:rPr>
          <w:rFonts w:ascii="Open Sans" w:hAnsi="Open Sans" w:cs="Open Sans"/>
          <w:iCs/>
        </w:rPr>
      </w:pPr>
      <w:r w:rsidRPr="002A63BA">
        <w:rPr>
          <w:rFonts w:ascii="Open Sans" w:hAnsi="Open Sans" w:cs="Open Sans"/>
          <w:iCs/>
        </w:rPr>
        <w:t xml:space="preserve">The year 2001 marks the emergence of two strands of literature on anticipatory governance. The first one is related to public administration and management (e.g. Bächler, 2001 as noted by Guston, 2014), and the second one is related to environmental studies (e.g. Gupta, 2001 as noted by Guston, 2014). From this point, research has been expanded significantly to other strands of literature including research and innovation in general (e.g. Gudowsky and Peissl, 2016), emerging technologies (e.g. Sarewitz, 2011), genetics (e.g. Conley, 2020), nanotechnology (e.g. Wiek et al., 2016), automated vehicles (Milakis and Müller, 2021), climate (e.g. Serrao-Neumann et al., 2013), robotics (Diep et al., 2014), etc. Lehoux et al. (2020) discussed the responsible research </w:t>
      </w:r>
      <w:r w:rsidRPr="002A63BA">
        <w:rPr>
          <w:rFonts w:ascii="Open Sans" w:hAnsi="Open Sans" w:cs="Open Sans"/>
          <w:iCs/>
        </w:rPr>
        <w:lastRenderedPageBreak/>
        <w:t xml:space="preserve">and innovation (RRI) field of research that also implements future-oriented anticipatory forms of governance to analyse the benefits and risks of innovations. </w:t>
      </w:r>
    </w:p>
    <w:p w14:paraId="4A4F718F" w14:textId="77777777" w:rsidR="006F0B57" w:rsidRPr="002A63BA" w:rsidRDefault="006F0B57" w:rsidP="00FF3EE4">
      <w:pPr>
        <w:spacing w:after="0" w:line="276" w:lineRule="auto"/>
        <w:rPr>
          <w:rFonts w:ascii="Open Sans" w:hAnsi="Open Sans" w:cs="Open Sans"/>
          <w:iCs/>
        </w:rPr>
      </w:pPr>
    </w:p>
    <w:p w14:paraId="2348BB64" w14:textId="0CF71C1C"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Exploring definitions of anticipatory governance</w:t>
      </w:r>
    </w:p>
    <w:p w14:paraId="3849A62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Several definitions of anticipatory governance have been found while reviewing the literature, showing the different terms and descriptions used to describe the core features of anticipatory governance. Before discussing them, it is interesting to address the necessary qualities of anticipatory governance: open-mindedness, curiosity and constant questioning of assumptions, and willingness to examine alternative possibilities (Fuerth, 2009).</w:t>
      </w:r>
    </w:p>
    <w:p w14:paraId="7C77C9D5" w14:textId="77777777" w:rsidR="003C22BF" w:rsidRPr="002A63BA" w:rsidRDefault="003C22BF" w:rsidP="00FF3EE4">
      <w:pPr>
        <w:spacing w:after="0" w:line="276" w:lineRule="auto"/>
        <w:rPr>
          <w:rFonts w:ascii="Open Sans" w:hAnsi="Open Sans" w:cs="Open Sans"/>
          <w:iCs/>
        </w:rPr>
      </w:pPr>
    </w:p>
    <w:p w14:paraId="1A86DBE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Institute for the Future (2020, p. 1) brought forward some of the meanings of AG in 2020, and for some it signifies “incorporating forecasting, visioning, and participatory processes when setting public goals, engaging government institutions in committing to those goals, and measuring progress against them”. For others, it signifies “setting up rapid feedback loops between technical innovations and their social and environmental impacts to influence future development decisions in both academia and corporate R&amp;D.” </w:t>
      </w:r>
    </w:p>
    <w:p w14:paraId="42AEF992" w14:textId="77777777" w:rsidR="003C22BF" w:rsidRPr="002A63BA" w:rsidRDefault="003C22BF" w:rsidP="00FF3EE4">
      <w:pPr>
        <w:spacing w:after="0" w:line="276" w:lineRule="auto"/>
        <w:rPr>
          <w:rFonts w:ascii="Open Sans" w:hAnsi="Open Sans" w:cs="Open Sans"/>
          <w:iCs/>
        </w:rPr>
      </w:pPr>
    </w:p>
    <w:p w14:paraId="4DA928E9"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According to the definitions listed in Table 1 below, anticipatory governance is at the same time a process and a system that uses foresight and other forms of anticipation processes in developing different actions and responses to future events. The role of </w:t>
      </w:r>
      <w:r w:rsidRPr="002A63BA">
        <w:rPr>
          <w:rFonts w:ascii="Open Sans" w:hAnsi="Open Sans" w:cs="Open Sans"/>
          <w:b/>
          <w:iCs/>
        </w:rPr>
        <w:t>foresight</w:t>
      </w:r>
      <w:r w:rsidRPr="002A63BA">
        <w:rPr>
          <w:rFonts w:ascii="Open Sans" w:hAnsi="Open Sans" w:cs="Open Sans"/>
          <w:iCs/>
        </w:rPr>
        <w:t xml:space="preserve"> in the definitions is emphasized as an important tool that collects emerging knowledge that is to be used later by AG in the processes of policy or decision-making. </w:t>
      </w:r>
    </w:p>
    <w:p w14:paraId="6D93486F" w14:textId="77777777" w:rsidR="003C22BF" w:rsidRPr="002A63BA" w:rsidRDefault="003C22BF" w:rsidP="00FF3EE4">
      <w:pPr>
        <w:spacing w:after="0" w:line="276" w:lineRule="auto"/>
        <w:rPr>
          <w:rFonts w:ascii="Open Sans" w:hAnsi="Open Sans" w:cs="Open Sans"/>
          <w:iCs/>
        </w:rPr>
      </w:pPr>
    </w:p>
    <w:p w14:paraId="464EC9B4" w14:textId="21F1716D" w:rsidR="003C22BF" w:rsidRPr="002A63BA" w:rsidRDefault="003C22BF" w:rsidP="00FF3EE4">
      <w:pPr>
        <w:spacing w:after="0" w:line="276" w:lineRule="auto"/>
        <w:rPr>
          <w:rFonts w:ascii="Open Sans" w:hAnsi="Open Sans" w:cs="Open Sans"/>
          <w:iCs/>
        </w:rPr>
      </w:pPr>
      <w:r w:rsidRPr="002A63BA">
        <w:rPr>
          <w:rFonts w:ascii="Open Sans" w:hAnsi="Open Sans" w:cs="Open Sans"/>
          <w:iCs/>
        </w:rPr>
        <w:t>Table 1: Definitions of anticipatory governance</w:t>
      </w:r>
    </w:p>
    <w:tbl>
      <w:tblPr>
        <w:tblStyle w:val="Reetkatablice"/>
        <w:tblW w:w="0" w:type="auto"/>
        <w:tblLook w:val="04A0" w:firstRow="1" w:lastRow="0" w:firstColumn="1" w:lastColumn="0" w:noHBand="0" w:noVBand="1"/>
      </w:tblPr>
      <w:tblGrid>
        <w:gridCol w:w="6203"/>
        <w:gridCol w:w="1225"/>
      </w:tblGrid>
      <w:tr w:rsidR="003C22BF" w:rsidRPr="002A63BA" w14:paraId="60EE3601" w14:textId="77777777" w:rsidTr="006F0B57">
        <w:tc>
          <w:tcPr>
            <w:tcW w:w="0" w:type="auto"/>
          </w:tcPr>
          <w:p w14:paraId="579CD023" w14:textId="77777777" w:rsidR="003C22BF" w:rsidRPr="002A63BA" w:rsidRDefault="003C22BF" w:rsidP="00FF3EE4">
            <w:pPr>
              <w:spacing w:line="276" w:lineRule="auto"/>
              <w:rPr>
                <w:rFonts w:ascii="Open Sans" w:hAnsi="Open Sans" w:cs="Open Sans"/>
                <w:b/>
                <w:iCs/>
              </w:rPr>
            </w:pPr>
            <w:r w:rsidRPr="002A63BA">
              <w:rPr>
                <w:rFonts w:ascii="Open Sans" w:hAnsi="Open Sans" w:cs="Open Sans"/>
                <w:b/>
                <w:iCs/>
              </w:rPr>
              <w:t>Definition</w:t>
            </w:r>
          </w:p>
        </w:tc>
        <w:tc>
          <w:tcPr>
            <w:tcW w:w="0" w:type="auto"/>
          </w:tcPr>
          <w:p w14:paraId="35E9AF13" w14:textId="77777777" w:rsidR="003C22BF" w:rsidRPr="002A63BA" w:rsidRDefault="003C22BF" w:rsidP="00FF3EE4">
            <w:pPr>
              <w:spacing w:line="276" w:lineRule="auto"/>
              <w:rPr>
                <w:rFonts w:ascii="Open Sans" w:hAnsi="Open Sans" w:cs="Open Sans"/>
                <w:b/>
                <w:iCs/>
              </w:rPr>
            </w:pPr>
            <w:r w:rsidRPr="002A63BA">
              <w:rPr>
                <w:rFonts w:ascii="Open Sans" w:hAnsi="Open Sans" w:cs="Open Sans"/>
                <w:b/>
                <w:iCs/>
              </w:rPr>
              <w:t>Author</w:t>
            </w:r>
          </w:p>
        </w:tc>
      </w:tr>
      <w:tr w:rsidR="003C22BF" w:rsidRPr="002A63BA" w14:paraId="10513DBC" w14:textId="77777777" w:rsidTr="006F0B57">
        <w:tc>
          <w:tcPr>
            <w:tcW w:w="0" w:type="auto"/>
          </w:tcPr>
          <w:p w14:paraId="2D9AB6DB"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“A broad-based capacity extended through society that can act on a variety of inputs to manage emerging knowledge-</w:t>
            </w:r>
            <w:r w:rsidRPr="002A63BA">
              <w:rPr>
                <w:rFonts w:ascii="Open Sans" w:hAnsi="Open Sans" w:cs="Open Sans"/>
                <w:iCs/>
              </w:rPr>
              <w:lastRenderedPageBreak/>
              <w:t>based technologies while such management is still possible”.</w:t>
            </w:r>
          </w:p>
        </w:tc>
        <w:tc>
          <w:tcPr>
            <w:tcW w:w="0" w:type="auto"/>
          </w:tcPr>
          <w:p w14:paraId="2365B804"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lastRenderedPageBreak/>
              <w:t>Guston, 2008, p. 6</w:t>
            </w:r>
          </w:p>
        </w:tc>
      </w:tr>
      <w:tr w:rsidR="003C22BF" w:rsidRPr="002A63BA" w14:paraId="6872975D" w14:textId="77777777" w:rsidTr="006F0B57">
        <w:tc>
          <w:tcPr>
            <w:tcW w:w="0" w:type="auto"/>
          </w:tcPr>
          <w:p w14:paraId="17BA0554"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“Anticipatory Governance is a system of institutions, rules and norms that provide a way to use foresight for the purpose of reducing risk, and to increase capacity to respond to events at early rather than later stages of their development.”</w:t>
            </w:r>
          </w:p>
        </w:tc>
        <w:tc>
          <w:tcPr>
            <w:tcW w:w="0" w:type="auto"/>
          </w:tcPr>
          <w:p w14:paraId="566B2B8D"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Fuerth 2009, p. 29</w:t>
            </w:r>
          </w:p>
        </w:tc>
      </w:tr>
      <w:tr w:rsidR="003C22BF" w:rsidRPr="002A63BA" w14:paraId="2D3B769D" w14:textId="77777777" w:rsidTr="006F0B57">
        <w:tc>
          <w:tcPr>
            <w:tcW w:w="0" w:type="auto"/>
          </w:tcPr>
          <w:p w14:paraId="0F25AE25"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“Anticipatory governance is a mode of decision-making that perpetually scans the horizon for changes demanding adaptation in our plans and behavior. It can be regarded as a scalable system of systems, in which foresight is integrated at every level.”</w:t>
            </w:r>
          </w:p>
        </w:tc>
        <w:tc>
          <w:tcPr>
            <w:tcW w:w="0" w:type="auto"/>
          </w:tcPr>
          <w:p w14:paraId="33966F60"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Fuerth, 2009, p. 30</w:t>
            </w:r>
          </w:p>
        </w:tc>
      </w:tr>
      <w:tr w:rsidR="003C22BF" w:rsidRPr="002A63BA" w14:paraId="52AD6F7C" w14:textId="77777777" w:rsidTr="006F0B57">
        <w:tc>
          <w:tcPr>
            <w:tcW w:w="0" w:type="auto"/>
          </w:tcPr>
          <w:p w14:paraId="5D423C7A"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“Anticipatory Governance denotes large scale participatory processes and systems for exploring, envisioning, direction setting and developing a strategy for a region.”</w:t>
            </w:r>
          </w:p>
        </w:tc>
        <w:tc>
          <w:tcPr>
            <w:tcW w:w="0" w:type="auto"/>
          </w:tcPr>
          <w:p w14:paraId="5116ED2F"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Ramos, 2017, p. 1</w:t>
            </w:r>
          </w:p>
          <w:p w14:paraId="77960E3F" w14:textId="77777777" w:rsidR="003C22BF" w:rsidRPr="002A63BA" w:rsidRDefault="003C22BF" w:rsidP="00FF3EE4">
            <w:pPr>
              <w:spacing w:line="276" w:lineRule="auto"/>
              <w:rPr>
                <w:rFonts w:ascii="Open Sans" w:hAnsi="Open Sans" w:cs="Open Sans"/>
                <w:iCs/>
              </w:rPr>
            </w:pPr>
          </w:p>
        </w:tc>
      </w:tr>
    </w:tbl>
    <w:p w14:paraId="629AD7C3"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Source: </w:t>
      </w:r>
      <w:r w:rsidRPr="002A63BA">
        <w:rPr>
          <w:rFonts w:ascii="Open Sans" w:hAnsi="Open Sans" w:cs="Open Sans"/>
          <w:i/>
        </w:rPr>
        <w:t>compiled by the author</w:t>
      </w:r>
    </w:p>
    <w:p w14:paraId="69544D5F" w14:textId="77777777" w:rsidR="003C22BF" w:rsidRPr="002A63BA" w:rsidRDefault="003C22BF" w:rsidP="00FF3EE4">
      <w:pPr>
        <w:spacing w:after="0" w:line="276" w:lineRule="auto"/>
        <w:rPr>
          <w:rFonts w:ascii="Open Sans" w:hAnsi="Open Sans" w:cs="Open Sans"/>
          <w:iCs/>
        </w:rPr>
      </w:pPr>
    </w:p>
    <w:p w14:paraId="6229272D"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In its publication, OECD (2019) mentions a new type of AG - anticipatory innovation governance defined as “broad-based capacity to actively explore options as part of broader anticipatory governance, with a particular aim of spurring on innovations (novel to the context, implemented and value shifting products, services and processes) connected to uncertain futures in the hopes of shaping the former through innovative practice” (OPSI, 2019) that is innovation-oriented with a more narrow scope than AG in general.</w:t>
      </w:r>
    </w:p>
    <w:p w14:paraId="5FD0D83D" w14:textId="77777777" w:rsidR="003C22BF" w:rsidRPr="002A63BA" w:rsidRDefault="003C22BF" w:rsidP="00FF3EE4">
      <w:pPr>
        <w:spacing w:after="0" w:line="276" w:lineRule="auto"/>
        <w:rPr>
          <w:rFonts w:ascii="Open Sans" w:hAnsi="Open Sans" w:cs="Open Sans"/>
          <w:iCs/>
        </w:rPr>
      </w:pPr>
    </w:p>
    <w:p w14:paraId="6A0495C4" w14:textId="6F6ED2B6"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Anticipatory governance system and its foundations</w:t>
      </w:r>
    </w:p>
    <w:p w14:paraId="4CF278D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This sub-section explains the core components and functioning mechanisms of anticipatory governance. According to Fuerth (2009), anticipatory governance comprises of four basic components: a </w:t>
      </w:r>
      <w:r w:rsidRPr="002A63BA">
        <w:rPr>
          <w:rFonts w:ascii="Open Sans" w:hAnsi="Open Sans" w:cs="Open Sans"/>
          <w:b/>
          <w:iCs/>
        </w:rPr>
        <w:t>foresight system</w:t>
      </w:r>
      <w:r w:rsidRPr="002A63BA">
        <w:rPr>
          <w:rFonts w:ascii="Open Sans" w:hAnsi="Open Sans" w:cs="Open Sans"/>
          <w:iCs/>
        </w:rPr>
        <w:t xml:space="preserve">; a </w:t>
      </w:r>
      <w:r w:rsidRPr="002A63BA">
        <w:rPr>
          <w:rFonts w:ascii="Open Sans" w:hAnsi="Open Sans" w:cs="Open Sans"/>
          <w:b/>
          <w:iCs/>
        </w:rPr>
        <w:t>networked system</w:t>
      </w:r>
      <w:r w:rsidRPr="002A63BA">
        <w:rPr>
          <w:rFonts w:ascii="Open Sans" w:hAnsi="Open Sans" w:cs="Open Sans"/>
          <w:iCs/>
        </w:rPr>
        <w:t xml:space="preserve"> for integrating foresight and the policy process; a </w:t>
      </w:r>
      <w:r w:rsidRPr="002A63BA">
        <w:rPr>
          <w:rFonts w:ascii="Open Sans" w:hAnsi="Open Sans" w:cs="Open Sans"/>
          <w:b/>
          <w:iCs/>
        </w:rPr>
        <w:t>feedback system</w:t>
      </w:r>
      <w:r w:rsidRPr="002A63BA">
        <w:rPr>
          <w:rFonts w:ascii="Open Sans" w:hAnsi="Open Sans" w:cs="Open Sans"/>
          <w:iCs/>
        </w:rPr>
        <w:t xml:space="preserve"> to evaluate its performance and to manage institutional knowledge, and </w:t>
      </w:r>
      <w:r w:rsidRPr="002A63BA">
        <w:rPr>
          <w:rFonts w:ascii="Open Sans" w:hAnsi="Open Sans" w:cs="Open Sans"/>
          <w:b/>
          <w:iCs/>
        </w:rPr>
        <w:t>open-minded</w:t>
      </w:r>
      <w:r w:rsidRPr="002A63BA">
        <w:rPr>
          <w:rFonts w:ascii="Open Sans" w:hAnsi="Open Sans" w:cs="Open Sans"/>
          <w:iCs/>
        </w:rPr>
        <w:t xml:space="preserve"> institutional </w:t>
      </w:r>
      <w:r w:rsidRPr="002A63BA">
        <w:rPr>
          <w:rFonts w:ascii="Open Sans" w:hAnsi="Open Sans" w:cs="Open Sans"/>
          <w:b/>
          <w:iCs/>
        </w:rPr>
        <w:t>culture</w:t>
      </w:r>
      <w:r w:rsidRPr="002A63BA">
        <w:rPr>
          <w:rFonts w:ascii="Open Sans" w:hAnsi="Open Sans" w:cs="Open Sans"/>
          <w:iCs/>
        </w:rPr>
        <w:t>.</w:t>
      </w:r>
    </w:p>
    <w:p w14:paraId="0D129485" w14:textId="77777777" w:rsidR="003C22BF" w:rsidRPr="002A63BA" w:rsidRDefault="003C22BF" w:rsidP="00FF3EE4">
      <w:pPr>
        <w:spacing w:after="0" w:line="276" w:lineRule="auto"/>
        <w:rPr>
          <w:rFonts w:ascii="Open Sans" w:hAnsi="Open Sans" w:cs="Open Sans"/>
          <w:iCs/>
        </w:rPr>
      </w:pPr>
    </w:p>
    <w:p w14:paraId="1CD85F93"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Anticipatory governance is a scalable process transferable to every level of governance (from local to global) as it contains similar relationships on all levels. It represents the environment with characteristics that include interactions of its sub-systems for foresight, networking, and feedback (ibid). Fuerth (2009) tried to summarize AG operations into the following activities: 1) supporting foresight by encouraging networking between public and private organizations employed to unify forecasting, futuring, and modelling, 2) employing specialized systems to identify and track signals of change, 3) evaluating these signals and incorporating them in development of alternative scenarios and simulation testings to see if they should be included in policies, 4) using feedback systems for a re-examination of policies, developing networked processes for collection, assessment and analysis of intelligence.</w:t>
      </w:r>
    </w:p>
    <w:p w14:paraId="33D75927" w14:textId="77777777" w:rsidR="003C22BF" w:rsidRPr="002A63BA" w:rsidRDefault="003C22BF" w:rsidP="00FF3EE4">
      <w:pPr>
        <w:spacing w:after="0" w:line="276" w:lineRule="auto"/>
        <w:rPr>
          <w:rFonts w:ascii="Open Sans" w:hAnsi="Open Sans" w:cs="Open Sans"/>
          <w:b/>
          <w:iCs/>
        </w:rPr>
      </w:pPr>
    </w:p>
    <w:p w14:paraId="67840355" w14:textId="77777777" w:rsidR="003C22BF" w:rsidRPr="002A63BA" w:rsidRDefault="003C22BF" w:rsidP="00FF3EE4">
      <w:pPr>
        <w:spacing w:line="276" w:lineRule="auto"/>
        <w:rPr>
          <w:rFonts w:ascii="Open Sans" w:hAnsi="Open Sans" w:cs="Open Sans"/>
          <w:iCs/>
        </w:rPr>
      </w:pPr>
      <w:r w:rsidRPr="002A63BA">
        <w:rPr>
          <w:rFonts w:ascii="Open Sans" w:hAnsi="Open Sans" w:cs="Open Sans"/>
          <w:iCs/>
        </w:rPr>
        <w:t xml:space="preserve">Although the first concepts of AG date from 2001, its foundations are found in the following seven traditions and discourses identified by Ramos (2014). Following traditions also present a background for designing anticipatory governance </w:t>
      </w:r>
      <w:r w:rsidRPr="002A63BA">
        <w:rPr>
          <w:rFonts w:ascii="Open Sans" w:hAnsi="Open Sans" w:cs="Open Sans"/>
          <w:b/>
          <w:iCs/>
        </w:rPr>
        <w:t>strategies</w:t>
      </w:r>
      <w:r w:rsidRPr="002A63BA">
        <w:rPr>
          <w:rFonts w:ascii="Open Sans" w:hAnsi="Open Sans" w:cs="Open Sans"/>
          <w:iCs/>
        </w:rPr>
        <w:t xml:space="preserve"> via a service design approach that enables adaptation to diverse needs and situations (ibid). </w:t>
      </w:r>
    </w:p>
    <w:p w14:paraId="4E80CFBC"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Science, Technology and Innovation Foresight (STIF) that include priorities such as policy formulation, strategy and priority setting, cooperation and networking, generating visions of the future, promoting public debate, identifying key barriers and drivers of STI, encouraging strategic and future thinking.</w:t>
      </w:r>
    </w:p>
    <w:p w14:paraId="3EAE42CD"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Anticipatory Democracy (AD) – developed in the 1970s in the United States to engage citizens and other community stakeholders in processes of policy development together with policymakers in the context of emerging futures.</w:t>
      </w:r>
    </w:p>
    <w:p w14:paraId="3E4594B4"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Futures Commissions (FC) - semi-independent research institutes/agencies established to provide a foresight function for both government and the public, which consequently can influence policy development.</w:t>
      </w:r>
    </w:p>
    <w:p w14:paraId="0E669C41"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lastRenderedPageBreak/>
        <w:t>Foresight Informed Strategic Planning (FISP) – participatory planning which engages key stakeholders in discussion of the long-term issues being mutually experienced (includes methods such as search conference methods and scenario planning).</w:t>
      </w:r>
    </w:p>
    <w:p w14:paraId="11851B72"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Transition Management (TM) – long-term systemic strategy for reaching sustainable development goals and visions.</w:t>
      </w:r>
    </w:p>
    <w:p w14:paraId="3A7A8FE0"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Integrated Governmental Foresight (IGF) - integrates intelligence and foresight activities across governmental departments, joining synergies and similarities in regards to systemic policy.</w:t>
      </w:r>
    </w:p>
    <w:p w14:paraId="0AEE4557" w14:textId="77777777" w:rsidR="003C22BF" w:rsidRPr="002A63BA" w:rsidRDefault="003C22BF" w:rsidP="00FF3EE4">
      <w:pPr>
        <w:pStyle w:val="Odlomakpopisa"/>
        <w:numPr>
          <w:ilvl w:val="0"/>
          <w:numId w:val="3"/>
        </w:numPr>
        <w:spacing w:after="0" w:line="276" w:lineRule="auto"/>
        <w:rPr>
          <w:rFonts w:ascii="Open Sans" w:hAnsi="Open Sans" w:cs="Open Sans"/>
          <w:iCs/>
        </w:rPr>
      </w:pPr>
      <w:r w:rsidRPr="002A63BA">
        <w:rPr>
          <w:rFonts w:ascii="Open Sans" w:hAnsi="Open Sans" w:cs="Open Sans"/>
          <w:iCs/>
        </w:rPr>
        <w:t>Network Foresight (NF) – includes usage of ICT systems on interactive web platforms that are generally accessible to everyone interested and capable to contribute.</w:t>
      </w:r>
    </w:p>
    <w:p w14:paraId="71E6E096" w14:textId="77777777" w:rsidR="003C22BF" w:rsidRPr="002A63BA" w:rsidRDefault="003C22BF" w:rsidP="00FF3EE4">
      <w:pPr>
        <w:spacing w:line="276" w:lineRule="auto"/>
        <w:rPr>
          <w:rFonts w:ascii="Open Sans" w:hAnsi="Open Sans" w:cs="Open Sans"/>
          <w:b/>
          <w:iCs/>
        </w:rPr>
      </w:pPr>
      <w:r w:rsidRPr="002A63BA">
        <w:rPr>
          <w:rFonts w:ascii="Open Sans" w:hAnsi="Open Sans" w:cs="Open Sans"/>
          <w:b/>
          <w:iCs/>
        </w:rPr>
        <w:br w:type="page"/>
      </w:r>
    </w:p>
    <w:p w14:paraId="4142CD5C" w14:textId="77777777" w:rsidR="003C22BF" w:rsidRPr="002A63BA" w:rsidRDefault="003C22BF" w:rsidP="00FF3EE4">
      <w:pPr>
        <w:pStyle w:val="N1"/>
      </w:pPr>
      <w:r w:rsidRPr="002A63BA">
        <w:lastRenderedPageBreak/>
        <w:t>Foresight</w:t>
      </w:r>
    </w:p>
    <w:p w14:paraId="3ACD076E"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As noted in section 2.2, foresight is a central part of anticipatory governance. In an attempt to back up this thesis, additional text mining of AG definitions and components is done when trying to create an AG word cloud. From 255 words analysed (with minimum 2 frequencies set), the word “foresight” resulted as the one with the most frequencies (#14) as shown in Figure 1. </w:t>
      </w:r>
    </w:p>
    <w:p w14:paraId="66A2EBF6" w14:textId="77777777" w:rsidR="003C22BF" w:rsidRPr="002A63BA" w:rsidRDefault="003C22BF" w:rsidP="00FF3EE4">
      <w:pPr>
        <w:spacing w:after="0" w:line="276" w:lineRule="auto"/>
        <w:rPr>
          <w:rFonts w:ascii="Open Sans" w:hAnsi="Open Sans" w:cs="Open Sans"/>
          <w:iCs/>
        </w:rPr>
      </w:pPr>
    </w:p>
    <w:p w14:paraId="134336E1"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noProof/>
          <w:lang w:val="hr-HR" w:eastAsia="hr-HR"/>
        </w:rPr>
        <w:drawing>
          <wp:inline distT="0" distB="0" distL="0" distR="0" wp14:anchorId="10AAA7EE" wp14:editId="7DF91107">
            <wp:extent cx="4549372" cy="2837815"/>
            <wp:effectExtent l="0" t="0" r="3810" b="635"/>
            <wp:docPr id="6" name="Picture 1" descr="C:\Users\Ivana\Desktop\agovernance\AG cloud 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na\Desktop\agovernance\AG cloud final.PN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4558218" cy="2843333"/>
                    </a:xfrm>
                    <a:prstGeom prst="rect">
                      <a:avLst/>
                    </a:prstGeom>
                    <a:noFill/>
                    <a:ln>
                      <a:noFill/>
                    </a:ln>
                  </pic:spPr>
                </pic:pic>
              </a:graphicData>
            </a:graphic>
          </wp:inline>
        </w:drawing>
      </w:r>
    </w:p>
    <w:p w14:paraId="149D088B"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Figure 1. </w:t>
      </w:r>
      <w:r w:rsidRPr="002A63BA">
        <w:rPr>
          <w:rFonts w:ascii="Open Sans" w:hAnsi="Open Sans" w:cs="Open Sans"/>
          <w:i/>
        </w:rPr>
        <w:t>Word cloud for anticipatory governance</w:t>
      </w:r>
      <w:r w:rsidRPr="002A63BA">
        <w:rPr>
          <w:rFonts w:ascii="Open Sans" w:hAnsi="Open Sans" w:cs="Open Sans"/>
          <w:iCs/>
        </w:rPr>
        <w:t xml:space="preserve"> (author’s work in software WordItOut)</w:t>
      </w:r>
    </w:p>
    <w:p w14:paraId="675D75D0" w14:textId="77777777" w:rsidR="003C22BF" w:rsidRPr="002A63BA" w:rsidRDefault="003C22BF" w:rsidP="00FF3EE4">
      <w:pPr>
        <w:spacing w:after="0" w:line="276" w:lineRule="auto"/>
        <w:rPr>
          <w:rFonts w:ascii="Open Sans" w:hAnsi="Open Sans" w:cs="Open Sans"/>
          <w:iCs/>
        </w:rPr>
      </w:pPr>
    </w:p>
    <w:p w14:paraId="077DAB0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Per Fuerth (2009), foresight is the capacity to anticipate alternative futures and an ability to visualize their multiple outcomes in form of consequences. It is a way to visualize, run through and improve the actions without testing them in reality, where the error consequences are serious and irreversible (ibid). According to the same author, the purpose of foresight (as a part of governance) is to enhance the ability of decision-makers to prepare for long-term events for the benefit of the citizens.</w:t>
      </w:r>
    </w:p>
    <w:p w14:paraId="7B178FD9" w14:textId="77777777" w:rsidR="003C22BF" w:rsidRPr="002A63BA" w:rsidRDefault="003C22BF" w:rsidP="00FF3EE4">
      <w:pPr>
        <w:spacing w:after="0" w:line="276" w:lineRule="auto"/>
        <w:rPr>
          <w:rFonts w:ascii="Open Sans" w:hAnsi="Open Sans" w:cs="Open Sans"/>
          <w:iCs/>
        </w:rPr>
      </w:pPr>
    </w:p>
    <w:p w14:paraId="51F6634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lastRenderedPageBreak/>
        <w:t xml:space="preserve">Foresight studies are often complicated, require many resources including financial ones with an aim to provide important information to the government, industry and academia for technology planning and knowledge expansion (Gibson et al., 2018). </w:t>
      </w:r>
    </w:p>
    <w:p w14:paraId="744B86E9" w14:textId="77777777" w:rsidR="003C22BF" w:rsidRPr="002A63BA" w:rsidRDefault="003C22BF" w:rsidP="00FF3EE4">
      <w:pPr>
        <w:spacing w:after="0" w:line="276" w:lineRule="auto"/>
        <w:rPr>
          <w:rFonts w:ascii="Open Sans" w:hAnsi="Open Sans" w:cs="Open Sans"/>
          <w:iCs/>
        </w:rPr>
      </w:pPr>
    </w:p>
    <w:p w14:paraId="10839CF9"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The concept of foresight is often confused with the concept of vision, but the two differ significantly. Vision is likely to be seen as a fixed image of the future while foresight is conditional and subject to a change as it presents a continuous effort to show different possibilities of the future that helps in making decisions (Fuerth, 2009). Foresight practitioners welcome alternative perceptions of the future as essential resources, unlike vision makers who tend to create unique vision (ibid).</w:t>
      </w:r>
    </w:p>
    <w:p w14:paraId="2429A78B" w14:textId="77777777" w:rsidR="003C22BF" w:rsidRPr="002A63BA" w:rsidRDefault="003C22BF" w:rsidP="00FF3EE4">
      <w:pPr>
        <w:spacing w:after="0" w:line="276" w:lineRule="auto"/>
        <w:rPr>
          <w:rFonts w:ascii="Open Sans" w:hAnsi="Open Sans" w:cs="Open Sans"/>
          <w:iCs/>
        </w:rPr>
      </w:pPr>
    </w:p>
    <w:p w14:paraId="6D0D43FA"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According to Gibson et al. (2018), there is no unique framework to develop and plan foresight activities. However, per Foresight futures (2021) first step in exploring the possible futures starts with defining the foresight framework, a structure that encourages generating different perspectives to seek new threats and possibilities within external changes, to prepare new policies and strategies for generated futures, and to decide on the action to take today to prepare towards a preferred future. The generic foresight process framework developed by Voros (2003) consists of inputs, analysis, interpretation, prospection, outputs and strategy/policy. Another framework found in the literature is presented by Keenan (2007) as five mental stages of foresight which include understanding, synthesising models of the future, analysis and selection, transformation and finally action. The last one identified is by Inayatullah (2008) as six pillars of future thinking for transforming: mapping, anticipating, timing, deepening, creating alternatives and transforming. </w:t>
      </w:r>
    </w:p>
    <w:p w14:paraId="30F5CEC6" w14:textId="77777777" w:rsidR="003C22BF" w:rsidRPr="002A63BA" w:rsidRDefault="003C22BF" w:rsidP="00FF3EE4">
      <w:pPr>
        <w:spacing w:after="0" w:line="276" w:lineRule="auto"/>
        <w:rPr>
          <w:rFonts w:ascii="Open Sans" w:hAnsi="Open Sans" w:cs="Open Sans"/>
          <w:b/>
          <w:iCs/>
        </w:rPr>
      </w:pPr>
    </w:p>
    <w:p w14:paraId="610A4CA2" w14:textId="230853BD"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 xml:space="preserve">Foresight methods </w:t>
      </w:r>
    </w:p>
    <w:p w14:paraId="632AC05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According to EC (2020), foresight is a discipline of “exploring, anticipating and shaping the future” that helps in building and using collective intelligence in “a structured and systematic way to anticipate </w:t>
      </w:r>
      <w:r w:rsidRPr="002A63BA">
        <w:rPr>
          <w:rFonts w:ascii="Open Sans" w:hAnsi="Open Sans" w:cs="Open Sans"/>
          <w:iCs/>
        </w:rPr>
        <w:lastRenderedPageBreak/>
        <w:t>developments and better prepare for change”. Foresight employs a vast number of methods that can be chosen, adapted, and personalised according to the specific type of foresight and practitioner’s choices (Kienegger et al., 2015). Unlike foresight, a specific set of methods for “anticipation” are not currently identified and available (ibid). However, some authors (e.g. Gudowsky and Peissl, 2016) find forward-looking and participation as essential tools to govern innovation actively and responsibly with a goal of developing sustainable long-term strategies that include socio-technical changes.</w:t>
      </w:r>
    </w:p>
    <w:p w14:paraId="7A227DA2" w14:textId="77777777" w:rsidR="003C22BF" w:rsidRPr="002A63BA" w:rsidRDefault="003C22BF" w:rsidP="00FF3EE4">
      <w:pPr>
        <w:spacing w:after="0" w:line="276" w:lineRule="auto"/>
        <w:rPr>
          <w:rFonts w:ascii="Open Sans" w:hAnsi="Open Sans" w:cs="Open Sans"/>
          <w:iCs/>
        </w:rPr>
      </w:pPr>
    </w:p>
    <w:p w14:paraId="183AA57E"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Practical foresight guide (Jackson, 2013) and Foresight methodologies guide (UNIDO, 2004) list and describe the most commonly used methods such as: brainstorming, causal layered analysis, chaos theory, cross-impact analysis, decision modelling, Delphi method, environmental scanning, expert panel, forecasting, futures wheel, simulation, gaming methods, participatory methods (focus groups, interviews, mapping techniques, narrative analysis, role-playing), prediction market, road-mapping, scenarios, text mining, trend impact analysis, visioning and others. </w:t>
      </w:r>
    </w:p>
    <w:p w14:paraId="13928B07" w14:textId="1F19A11D"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The focus of this paper is placed on </w:t>
      </w:r>
      <w:r w:rsidRPr="002A63BA">
        <w:rPr>
          <w:rFonts w:ascii="Open Sans" w:hAnsi="Open Sans" w:cs="Open Sans"/>
          <w:b/>
          <w:iCs/>
        </w:rPr>
        <w:t>participatory</w:t>
      </w:r>
      <w:r w:rsidRPr="002A63BA">
        <w:rPr>
          <w:rFonts w:ascii="Open Sans" w:hAnsi="Open Sans" w:cs="Open Sans"/>
          <w:iCs/>
        </w:rPr>
        <w:t xml:space="preserve"> methods that combine scenario building and gaming opportunities to enable the application of future thinking for policy-making, which is used by practitioners when dealing with within a local government context. The focus is on participation, as expert forward-looking failed to include diverse opinions, therefore stakeholder engagement became a standard in long-term perspectives (Gudowsky and Peissl, 2016). According to the same authors including laypeople into forward-looking science, technology and innovation (STI) governance is underexplored, but is crucial in co-creating valuable knowledge together with other stakeholders and experts (ibid).</w:t>
      </w:r>
    </w:p>
    <w:p w14:paraId="354698F9" w14:textId="77777777" w:rsidR="007C3C4B" w:rsidRPr="002A63BA" w:rsidRDefault="007C3C4B" w:rsidP="00FF3EE4">
      <w:pPr>
        <w:spacing w:after="0" w:line="276" w:lineRule="auto"/>
        <w:rPr>
          <w:rFonts w:ascii="Open Sans" w:hAnsi="Open Sans" w:cs="Open Sans"/>
          <w:iCs/>
        </w:rPr>
      </w:pPr>
    </w:p>
    <w:p w14:paraId="77EC4310" w14:textId="78F37FA2"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Scenario-based foresight methods</w:t>
      </w:r>
    </w:p>
    <w:p w14:paraId="3DD5AD81"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Scenarios may be developed by different sets of methods at diverse workshops by expert groups or may derive from Delphi or other survey </w:t>
      </w:r>
      <w:r w:rsidRPr="002A63BA">
        <w:rPr>
          <w:rFonts w:ascii="Open Sans" w:hAnsi="Open Sans" w:cs="Open Sans"/>
          <w:iCs/>
        </w:rPr>
        <w:lastRenderedPageBreak/>
        <w:t xml:space="preserve">results, etc. (UNDIP, 2004). Practically any forecasting or foresight approach can be a motive for a scenario generating exercise. Scenario planning is well-known and often used technique for thinking about the future. Building scenarios help in identifying future opportunities and possibilities and at the same time giving assurance when acting within uncertainty (Jackson, 2013). Scenario planning questions previously made assumptions about the future and creates future alternatives that can be used by decision-makers in determining their response. It can be used to (ibid): explore uncertainties and test for limits, order alternative futures, identify emerging risks and opportunities, improve future assumptions, derive new vision and strategy development, risk assessments of projects and organizations, or to rehearse the future. </w:t>
      </w:r>
    </w:p>
    <w:p w14:paraId="496E0EE5" w14:textId="77777777" w:rsidR="003C22BF" w:rsidRPr="002A63BA" w:rsidRDefault="003C22BF" w:rsidP="00FF3EE4">
      <w:pPr>
        <w:spacing w:after="0" w:line="276" w:lineRule="auto"/>
        <w:rPr>
          <w:rFonts w:ascii="Open Sans" w:hAnsi="Open Sans" w:cs="Open Sans"/>
          <w:iCs/>
        </w:rPr>
      </w:pPr>
    </w:p>
    <w:p w14:paraId="1E3E49A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According to Lehoux et al. (2020), RRI and participatory foresight practitioners should formulate scenario-based methods in order to use experts and non-experts in analysing the benefits of the past, reconsidering the present, and in forming the future scenarios and possibilities. This is done to inform anticipatory governance (ibid). Boenink (2013) considers scenarios of the future important for considering and studying new and emerging science and technologies. Similarly, Urueña (2019) finds the creation of future scenarios as a valued methodological tool for shaping the anticipatory governance of emerging technologies.</w:t>
      </w:r>
    </w:p>
    <w:p w14:paraId="569C32B4" w14:textId="77777777" w:rsidR="003C22BF" w:rsidRPr="002A63BA" w:rsidRDefault="003C22BF" w:rsidP="00FF3EE4">
      <w:pPr>
        <w:spacing w:after="0" w:line="276" w:lineRule="auto"/>
        <w:rPr>
          <w:rFonts w:ascii="Open Sans" w:hAnsi="Open Sans" w:cs="Open Sans"/>
          <w:iCs/>
        </w:rPr>
      </w:pPr>
    </w:p>
    <w:p w14:paraId="41521595" w14:textId="68A96751"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Gaming methods</w:t>
      </w:r>
    </w:p>
    <w:p w14:paraId="0512C814"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Gaming methods in foresight are also very popular and useful especially when the goal is to include people in community planning activities to get the insight of the problem, to deal with future challenges or different upcoming or imaginary changes. In this way, gaming practitioners can generate new ideas, test behaviours, encourage the learning process, and create a good atmosphere for productive discussions between different stakeholders. </w:t>
      </w:r>
    </w:p>
    <w:p w14:paraId="3C925DAA" w14:textId="77777777" w:rsidR="003C22BF" w:rsidRPr="002A63BA" w:rsidRDefault="003C22BF" w:rsidP="00FF3EE4">
      <w:pPr>
        <w:spacing w:after="0" w:line="276" w:lineRule="auto"/>
        <w:rPr>
          <w:rFonts w:ascii="Open Sans" w:hAnsi="Open Sans" w:cs="Open Sans"/>
          <w:iCs/>
        </w:rPr>
      </w:pPr>
    </w:p>
    <w:p w14:paraId="562017A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lastRenderedPageBreak/>
        <w:t>Looking retrospectively in the history, first games invented were war games (since the 19</w:t>
      </w:r>
      <w:r w:rsidRPr="002A63BA">
        <w:rPr>
          <w:rFonts w:ascii="Open Sans" w:hAnsi="Open Sans" w:cs="Open Sans"/>
          <w:iCs/>
          <w:vertAlign w:val="superscript"/>
        </w:rPr>
        <w:t xml:space="preserve">th </w:t>
      </w:r>
      <w:r w:rsidRPr="002A63BA">
        <w:rPr>
          <w:rFonts w:ascii="Open Sans" w:hAnsi="Open Sans" w:cs="Open Sans"/>
          <w:iCs/>
        </w:rPr>
        <w:t xml:space="preserve">century), followed by serious games in the 1970s as determined by Abt (1970). Their application is noted mostly in the social sciences, at the same time noting greater engagement of participants in physical games vs. online games, with a new trend of future-oriented games identified (Bontaux et al., 2020). </w:t>
      </w:r>
    </w:p>
    <w:p w14:paraId="283833CB" w14:textId="77777777" w:rsidR="003C22BF" w:rsidRPr="002A63BA" w:rsidRDefault="003C22BF" w:rsidP="00FF3EE4">
      <w:pPr>
        <w:spacing w:after="0" w:line="276" w:lineRule="auto"/>
        <w:rPr>
          <w:rFonts w:ascii="Open Sans" w:hAnsi="Open Sans" w:cs="Open Sans"/>
          <w:iCs/>
        </w:rPr>
      </w:pPr>
    </w:p>
    <w:p w14:paraId="0F27A939"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Games are considered a powerful method to explore beforehand possible ways of actions, different solutions and measures. This is impossible to perform under the direct pressure of reality. Circumstances created in the future games create a safe space to think because there is no “urgency” and participants have creative freedom (Bontaux et al., 2020). </w:t>
      </w:r>
      <w:r w:rsidRPr="002A63BA">
        <w:rPr>
          <w:rFonts w:ascii="Open Sans" w:hAnsi="Open Sans" w:cs="Open Sans"/>
          <w:b/>
          <w:iCs/>
        </w:rPr>
        <w:t>Uncertainty</w:t>
      </w:r>
      <w:r w:rsidRPr="002A63BA">
        <w:rPr>
          <w:rFonts w:ascii="Open Sans" w:hAnsi="Open Sans" w:cs="Open Sans"/>
          <w:iCs/>
        </w:rPr>
        <w:t xml:space="preserve">, noted previously as the backbone of the chance and the future, is the main feature of games as well, but in the case of games, it offers excitement needed for participants/players. </w:t>
      </w:r>
    </w:p>
    <w:p w14:paraId="7F93A534" w14:textId="77777777" w:rsidR="003C22BF" w:rsidRPr="002A63BA" w:rsidRDefault="003C22BF" w:rsidP="00FF3EE4">
      <w:pPr>
        <w:spacing w:after="0" w:line="276" w:lineRule="auto"/>
        <w:rPr>
          <w:rFonts w:ascii="Open Sans" w:hAnsi="Open Sans" w:cs="Open Sans"/>
          <w:iCs/>
        </w:rPr>
      </w:pPr>
    </w:p>
    <w:p w14:paraId="5E35B041" w14:textId="0FA7004C"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Scenario Exploration System (SES)</w:t>
      </w:r>
    </w:p>
    <w:p w14:paraId="4CB78AE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Scenario Exploration System is a foresight gaming system developed by the Joint Research Center’s (JRC) of the European Commission. The objective of SES is to facilitate the application of future predictions in the area of public policy-making. The SES is designed to engage different stakeholders in systematic long-term thinking and to explore alternative futures for particular issues on a variety of topics (in less than three hours). The four characteristics of the tool are: versatility, a wide range of potential users, the ability to interact with a wide variety of participants and circumstances, and adaptability (Bontaux, 2020).</w:t>
      </w:r>
    </w:p>
    <w:p w14:paraId="385878DD" w14:textId="77777777" w:rsidR="003C22BF" w:rsidRPr="002A63BA" w:rsidRDefault="003C22BF" w:rsidP="00FF3EE4">
      <w:pPr>
        <w:spacing w:after="0" w:line="276" w:lineRule="auto"/>
        <w:rPr>
          <w:rFonts w:ascii="Open Sans" w:hAnsi="Open Sans" w:cs="Open Sans"/>
          <w:iCs/>
        </w:rPr>
      </w:pPr>
    </w:p>
    <w:p w14:paraId="352191E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This gaming system includes advantages of both scenario-based methods and gaming-based methods, as it is a combination of both. In SES four scenario explorers take up their long-term objectives with given resources, interact with other scenario explorers, and are subjected to foreseen and unforeseen events to which they need to react. The public voice judges the actions of scenario explorers.</w:t>
      </w:r>
    </w:p>
    <w:p w14:paraId="63E7EA31" w14:textId="77777777" w:rsidR="003C22BF" w:rsidRPr="002A63BA" w:rsidRDefault="003C22BF" w:rsidP="00FF3EE4">
      <w:pPr>
        <w:spacing w:after="0" w:line="276" w:lineRule="auto"/>
        <w:rPr>
          <w:rFonts w:ascii="Open Sans" w:hAnsi="Open Sans" w:cs="Open Sans"/>
          <w:iCs/>
        </w:rPr>
      </w:pPr>
    </w:p>
    <w:p w14:paraId="53104360"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There are different Scenario Exploration System versions and adaptations organized so far:</w:t>
      </w:r>
    </w:p>
    <w:p w14:paraId="31F59118"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Circular ocean: the goal was to find solutions for fishing nets and ropes waste in northern Europe; SES managed to create a constructive conversation among the stakeholders involved (fishermen, port commanders, SMEs and fisheries agencies;</w:t>
      </w:r>
    </w:p>
    <w:p w14:paraId="34CC09AE"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Food safety: conversations were opened about policy work on food safety and food innovation after 15 years;</w:t>
      </w:r>
    </w:p>
    <w:p w14:paraId="129C2863"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Dragon Star: discussions between European and Chinese stakeholders involved in development and innovation activities (Research &amp; Innovation) were initiated in order to create a long-term development strategy;</w:t>
      </w:r>
    </w:p>
    <w:p w14:paraId="0BC61F15"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Mobility is a serious game: representatives of the local and central government, business sector and NGOs are to meet in an educational environment and discuss different mobility scenarios, for example on the topic of autonomous vehicle implementation;</w:t>
      </w:r>
    </w:p>
    <w:p w14:paraId="4AA3162F"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Climate KIC: the topic is carbon-free cities where contrasting scenarios are given to participants; for example market-driven vs. a policy-driven scenario according to the local vision of the city of Bologna and Frankfurt;</w:t>
      </w:r>
    </w:p>
    <w:p w14:paraId="6D96F3B2"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EU innovate: participants interact with the radical social, political and economic changes that should take place by 2050, 4 scenarios for 4 opposing sustainable lifestyles are possible with a role of the citizen innovator and the “post-truth” public voice;</w:t>
      </w:r>
    </w:p>
    <w:p w14:paraId="530FDFB6"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Application of nanotechnology: opportunity to talk about research directions with different interesting parties in different scenarios;</w:t>
      </w:r>
    </w:p>
    <w:p w14:paraId="23062043" w14:textId="77777777" w:rsidR="003C22BF" w:rsidRPr="002A63BA" w:rsidRDefault="003C22BF" w:rsidP="00FF3EE4">
      <w:pPr>
        <w:pStyle w:val="Odlomakpopisa"/>
        <w:numPr>
          <w:ilvl w:val="0"/>
          <w:numId w:val="5"/>
        </w:numPr>
        <w:spacing w:after="0" w:line="276" w:lineRule="auto"/>
        <w:rPr>
          <w:rFonts w:ascii="Open Sans" w:hAnsi="Open Sans" w:cs="Open Sans"/>
          <w:iCs/>
        </w:rPr>
      </w:pPr>
      <w:r w:rsidRPr="002A63BA">
        <w:rPr>
          <w:rFonts w:ascii="Open Sans" w:hAnsi="Open Sans" w:cs="Open Sans"/>
          <w:iCs/>
        </w:rPr>
        <w:t>Migration to the EU: opportunity to talk about different scenarios with different interested parties from pro-immigration to anti-immigration populists.</w:t>
      </w:r>
    </w:p>
    <w:p w14:paraId="3D106755" w14:textId="77777777" w:rsidR="003C22BF" w:rsidRPr="002A63BA" w:rsidRDefault="003C22BF" w:rsidP="00FF3EE4">
      <w:pPr>
        <w:spacing w:after="0" w:line="276" w:lineRule="auto"/>
        <w:rPr>
          <w:rFonts w:ascii="Open Sans" w:hAnsi="Open Sans" w:cs="Open Sans"/>
          <w:b/>
          <w:iCs/>
        </w:rPr>
      </w:pPr>
    </w:p>
    <w:p w14:paraId="25CF0B16" w14:textId="16BFC485" w:rsidR="003C22BF" w:rsidRPr="006F0B57" w:rsidRDefault="003C22BF" w:rsidP="00FF3EE4">
      <w:pPr>
        <w:spacing w:after="0" w:line="276" w:lineRule="auto"/>
        <w:rPr>
          <w:rFonts w:ascii="Open Sans" w:hAnsi="Open Sans" w:cs="Open Sans"/>
          <w:iCs/>
        </w:rPr>
      </w:pPr>
      <w:r w:rsidRPr="002A63BA">
        <w:rPr>
          <w:rFonts w:ascii="Open Sans" w:hAnsi="Open Sans" w:cs="Open Sans"/>
          <w:iCs/>
        </w:rPr>
        <w:t>As previously described, SES can be adapted to different policy contexts, and for each, it offers a collaborative and experimental space that can be used for innovative policy making.</w:t>
      </w:r>
    </w:p>
    <w:p w14:paraId="12E92270" w14:textId="77777777" w:rsidR="003C22BF" w:rsidRPr="002A63BA" w:rsidRDefault="003C22BF" w:rsidP="00FF3EE4">
      <w:pPr>
        <w:pStyle w:val="N1"/>
      </w:pPr>
      <w:r w:rsidRPr="002A63BA">
        <w:lastRenderedPageBreak/>
        <w:t xml:space="preserve">Discussion </w:t>
      </w:r>
    </w:p>
    <w:p w14:paraId="14DAD531"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Future studies, as “an empirical and scientifically-based approach to understanding the future” (Lombardo, 2008, p. 109), seek to capture, understand and analyse possible future events, innovations and their implications in forms of opportunities and/or threats for humanity. This discipline is not novel, but its importance is especially recognized and emphasized in these special conditions of global pandemics of Covid-19. </w:t>
      </w:r>
    </w:p>
    <w:p w14:paraId="2A317C9D" w14:textId="77777777" w:rsidR="003C22BF" w:rsidRPr="002A63BA" w:rsidRDefault="003C22BF" w:rsidP="00FF3EE4">
      <w:pPr>
        <w:spacing w:after="0" w:line="276" w:lineRule="auto"/>
        <w:rPr>
          <w:rFonts w:ascii="Open Sans" w:hAnsi="Open Sans" w:cs="Open Sans"/>
          <w:iCs/>
        </w:rPr>
      </w:pPr>
    </w:p>
    <w:p w14:paraId="4786554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This might be the right moment for the novel concept of anticipatory governance to be recognized along with its core component – foresight, especially taking into consideration global agenda oriented on sustainability (2030 Agenda for Sustainable Development) and 17 adopted Sustainable Development Goals (SDGs) by all UN member states. Zovko (2013) finds exploration of the future as a key point to sustainable development. This is particularly emphasized by European Commission (EC) in the newly issued 2020 Strategic Foresight Report (SFR) that discusses resilience as the central theme of the mentioned report. </w:t>
      </w:r>
    </w:p>
    <w:p w14:paraId="078227CA" w14:textId="77777777" w:rsidR="003C22BF" w:rsidRPr="002A63BA" w:rsidRDefault="003C22BF" w:rsidP="00FF3EE4">
      <w:pPr>
        <w:spacing w:after="0" w:line="276" w:lineRule="auto"/>
        <w:rPr>
          <w:rFonts w:ascii="Open Sans" w:hAnsi="Open Sans" w:cs="Open Sans"/>
          <w:b/>
          <w:iCs/>
        </w:rPr>
      </w:pPr>
    </w:p>
    <w:p w14:paraId="273D1D31"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Per Political Guidelines for the next European Commission (for period 2019-2024) a strategic long-term direction is to achieve the transition towards a green, digital and fair Europe. The goal of the Commission is to put </w:t>
      </w:r>
      <w:r w:rsidRPr="002A63BA">
        <w:rPr>
          <w:rFonts w:ascii="Open Sans" w:hAnsi="Open Sans" w:cs="Open Sans"/>
          <w:b/>
          <w:iCs/>
        </w:rPr>
        <w:t>strategic foresight</w:t>
      </w:r>
      <w:r w:rsidRPr="002A63BA">
        <w:rPr>
          <w:rFonts w:ascii="Open Sans" w:hAnsi="Open Sans" w:cs="Open Sans"/>
          <w:iCs/>
        </w:rPr>
        <w:t xml:space="preserve"> at the heart of EU policymaking with a goal to stimulate strategic thinking and form EU policies and initiatives (EC, 2020). The mentioned first annual SFR defines how foresight will influence policies to strengthen the EU’s resilience (ability to withstand and cope with challenges) in four interconnected dimensions: social and economic, geopolitical, green, and digital (ibid). The report analyses the levels of the EU’s resilience in the Covid-19 crisis. As seen in Figure 2, by strengthening capacities and mitigating vulnerabilities Europe can improve resilience, at the same time accelerating or decelerating relevant megatrends opens up new opportunities in four dimensions. </w:t>
      </w:r>
    </w:p>
    <w:p w14:paraId="6E95AC1A" w14:textId="77777777" w:rsidR="003C22BF" w:rsidRPr="002A63BA" w:rsidRDefault="003C22BF" w:rsidP="00FF3EE4">
      <w:pPr>
        <w:spacing w:after="0" w:line="276" w:lineRule="auto"/>
        <w:rPr>
          <w:rFonts w:ascii="Open Sans" w:hAnsi="Open Sans" w:cs="Open Sans"/>
          <w:iCs/>
        </w:rPr>
      </w:pPr>
    </w:p>
    <w:p w14:paraId="7EF85056"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noProof/>
          <w:lang w:val="hr-HR" w:eastAsia="hr-HR"/>
        </w:rPr>
        <w:lastRenderedPageBreak/>
        <w:drawing>
          <wp:inline distT="0" distB="0" distL="0" distR="0" wp14:anchorId="570F22E4" wp14:editId="5510044A">
            <wp:extent cx="4736999" cy="2619375"/>
            <wp:effectExtent l="0" t="0" r="698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4749774" cy="2626439"/>
                    </a:xfrm>
                    <a:prstGeom prst="rect">
                      <a:avLst/>
                    </a:prstGeom>
                    <a:noFill/>
                    <a:ln>
                      <a:noFill/>
                    </a:ln>
                  </pic:spPr>
                </pic:pic>
              </a:graphicData>
            </a:graphic>
          </wp:inline>
        </w:drawing>
      </w:r>
    </w:p>
    <w:p w14:paraId="172EECDB"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bCs/>
          <w:iCs/>
          <w:color w:val="404040"/>
        </w:rPr>
        <w:t xml:space="preserve">Figure 2. </w:t>
      </w:r>
      <w:r w:rsidRPr="002A63BA">
        <w:rPr>
          <w:rFonts w:ascii="Open Sans" w:hAnsi="Open Sans" w:cs="Open Sans"/>
          <w:bCs/>
          <w:i/>
          <w:color w:val="404040"/>
        </w:rPr>
        <w:t xml:space="preserve">Link </w:t>
      </w:r>
      <w:r w:rsidRPr="002A63BA">
        <w:rPr>
          <w:rFonts w:ascii="Open Sans" w:hAnsi="Open Sans" w:cs="Open Sans"/>
          <w:i/>
        </w:rPr>
        <w:t>between</w:t>
      </w:r>
      <w:r w:rsidRPr="002A63BA">
        <w:rPr>
          <w:rFonts w:ascii="Open Sans" w:hAnsi="Open Sans" w:cs="Open Sans"/>
          <w:bCs/>
          <w:i/>
          <w:color w:val="404040"/>
        </w:rPr>
        <w:t xml:space="preserve"> strategic foresight and resilience</w:t>
      </w:r>
      <w:r w:rsidRPr="002A63BA">
        <w:rPr>
          <w:rFonts w:ascii="Open Sans" w:hAnsi="Open Sans" w:cs="Open Sans"/>
          <w:bCs/>
          <w:iCs/>
          <w:color w:val="404040"/>
        </w:rPr>
        <w:t xml:space="preserve"> (European Commission, 2020)</w:t>
      </w:r>
    </w:p>
    <w:p w14:paraId="7E41398A" w14:textId="77777777" w:rsidR="003C22BF" w:rsidRPr="002A63BA" w:rsidRDefault="003C22BF" w:rsidP="00FF3EE4">
      <w:pPr>
        <w:spacing w:after="0" w:line="276" w:lineRule="auto"/>
        <w:rPr>
          <w:rFonts w:ascii="Open Sans" w:hAnsi="Open Sans" w:cs="Open Sans"/>
          <w:iCs/>
        </w:rPr>
      </w:pPr>
    </w:p>
    <w:p w14:paraId="274954E0"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Forward-looking culture in policymaking in the EU is important to deal with complex changes, and it is the basis for forward-looking policies supported by participatory foresight (ibid).</w:t>
      </w:r>
    </w:p>
    <w:p w14:paraId="4349E506" w14:textId="77777777" w:rsidR="003C22BF" w:rsidRPr="002A63BA" w:rsidRDefault="003C22BF" w:rsidP="00FF3EE4">
      <w:pPr>
        <w:spacing w:after="0" w:line="276" w:lineRule="auto"/>
        <w:rPr>
          <w:rFonts w:ascii="Open Sans" w:hAnsi="Open Sans" w:cs="Open Sans"/>
          <w:b/>
          <w:iCs/>
        </w:rPr>
      </w:pPr>
    </w:p>
    <w:p w14:paraId="04E3F43F"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Reviewing more globally, the most powerful economies (Israel, Sweden, Finland, Japan, Korea, Switzerland, US) invest in future studies research, with an aim at driving their society and economies towards sustainable development (Zovko, 2013). The above countries have economic and human potential for conducting such research, and it is expected for them to become leaders in future development. It is interesting to note that these countries coped relatively well with the Covid-19 crises in comparison to other countries. The academic community can help other countries to join the development of this scientific discipline so that future scenarios include local differences and preferences aimed at the ultimate goal of fulfillment of global progress and sustainability (ibid).</w:t>
      </w:r>
    </w:p>
    <w:p w14:paraId="381DB8EE" w14:textId="77777777" w:rsidR="003C22BF" w:rsidRPr="002A63BA" w:rsidRDefault="003C22BF" w:rsidP="00FF3EE4">
      <w:pPr>
        <w:spacing w:after="0" w:line="276" w:lineRule="auto"/>
        <w:rPr>
          <w:rFonts w:ascii="Open Sans" w:hAnsi="Open Sans" w:cs="Open Sans"/>
          <w:b/>
          <w:iCs/>
        </w:rPr>
      </w:pPr>
    </w:p>
    <w:p w14:paraId="674C4419" w14:textId="31F11F9A"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lastRenderedPageBreak/>
        <w:t>Implications for Urban Development</w:t>
      </w:r>
    </w:p>
    <w:p w14:paraId="73DD516A"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The importance of anticipatory governance is noted in several studies comprising the city context. Most of them are showing just fragments or initial emergence of AG which shows that AG research is scarce, but also shows the novelty of AG concept, especially within the city concept, in both scientific and practical approaches. One of the rare studies that incorporated AG in its research discusses the governance during Covid-19 pandemics in Italy. In their survey of 25 municipality mayors, Garavaglia et al. (2020) identified four key issues related to urban governance: 1) the importance of adaptive leadership and of anticipatory governance frameworks that provide direction in emergency situations, 2) the importance of promoting institutional spaces for cooperation and collaboration with citizens as volunteers and of other stakeholders willing to contribute to public value co-creation, 3) the role of technology as an enabler and medium for sharing information and crowdsourcing resources, and 4) the importance of trusted platforms for knowledge sharing among the mayors and with other relevant organizational stakeholders.</w:t>
      </w:r>
    </w:p>
    <w:p w14:paraId="0C8943A6" w14:textId="77777777" w:rsidR="003C22BF" w:rsidRPr="002A63BA" w:rsidRDefault="003C22BF" w:rsidP="00FF3EE4">
      <w:pPr>
        <w:autoSpaceDE w:val="0"/>
        <w:autoSpaceDN w:val="0"/>
        <w:adjustRightInd w:val="0"/>
        <w:spacing w:after="0" w:line="276" w:lineRule="auto"/>
        <w:rPr>
          <w:rFonts w:ascii="Open Sans" w:hAnsi="Open Sans" w:cs="Open Sans"/>
          <w:iCs/>
        </w:rPr>
      </w:pPr>
    </w:p>
    <w:p w14:paraId="08F4FFC4" w14:textId="77777777" w:rsidR="003C22BF" w:rsidRPr="002A63BA" w:rsidRDefault="003C22BF" w:rsidP="00FF3EE4">
      <w:pPr>
        <w:autoSpaceDE w:val="0"/>
        <w:autoSpaceDN w:val="0"/>
        <w:adjustRightInd w:val="0"/>
        <w:spacing w:after="0" w:line="276" w:lineRule="auto"/>
        <w:rPr>
          <w:rFonts w:ascii="Open Sans" w:hAnsi="Open Sans" w:cs="Open Sans"/>
          <w:iCs/>
        </w:rPr>
      </w:pPr>
      <w:r w:rsidRPr="002A63BA">
        <w:rPr>
          <w:rFonts w:ascii="Open Sans" w:hAnsi="Open Sans" w:cs="Open Sans"/>
          <w:iCs/>
        </w:rPr>
        <w:t xml:space="preserve">In 2013, Wiek et al. defined a research agenda to support anticipatory governance of nanotechnologies in cities. “Nano and the City” research program conducted in Phoenix, Arizona combined the AG principles (imagining, designing and influencing emerging technologies) with transformational sustainability science (giving a structured framework). At the end of the same project, Wiek et al. (2016) confirm and invite for sustainable and responsible innovation that will incorporate AG with an aim to avoid shortcomings of conventional principles dominating emerging technologies. </w:t>
      </w:r>
    </w:p>
    <w:p w14:paraId="3A04A81E" w14:textId="77777777" w:rsidR="003C22BF" w:rsidRPr="002A63BA" w:rsidRDefault="003C22BF" w:rsidP="00FF3EE4">
      <w:pPr>
        <w:spacing w:after="0" w:line="276" w:lineRule="auto"/>
        <w:rPr>
          <w:rFonts w:ascii="Open Sans" w:hAnsi="Open Sans" w:cs="Open Sans"/>
          <w:iCs/>
        </w:rPr>
      </w:pPr>
    </w:p>
    <w:p w14:paraId="5FB25D4A" w14:textId="77777777" w:rsidR="003C22BF" w:rsidRPr="002A63BA" w:rsidRDefault="003C22BF" w:rsidP="00FF3EE4">
      <w:pPr>
        <w:autoSpaceDE w:val="0"/>
        <w:autoSpaceDN w:val="0"/>
        <w:adjustRightInd w:val="0"/>
        <w:spacing w:after="0" w:line="276" w:lineRule="auto"/>
        <w:rPr>
          <w:rFonts w:ascii="Open Sans" w:hAnsi="Open Sans" w:cs="Open Sans"/>
          <w:iCs/>
        </w:rPr>
      </w:pPr>
      <w:r w:rsidRPr="002A63BA">
        <w:rPr>
          <w:rFonts w:ascii="Open Sans" w:hAnsi="Open Sans" w:cs="Open Sans"/>
          <w:iCs/>
        </w:rPr>
        <w:t xml:space="preserve">The fragments of AG governance are recognized in the study made by Termini &amp; Kalafatic (2021) and Derickson (2017). Termini &amp; Kalafatic (2021) presented the results of the study in Pennsylvania (USA) that explored local government’s work in adapting to climate changes. Local officials did </w:t>
      </w:r>
      <w:r w:rsidRPr="002A63BA">
        <w:rPr>
          <w:rFonts w:ascii="Open Sans" w:hAnsi="Open Sans" w:cs="Open Sans"/>
          <w:iCs/>
        </w:rPr>
        <w:lastRenderedPageBreak/>
        <w:t xml:space="preserve">not recognize their work with water management as an adaptation to climate change although in two municipalities they were reacting to the water threats, and in a single case, officials used a proactive approach with elements of anticipatory governance where they were building up the greater capacity of the water system to address future risks. </w:t>
      </w:r>
    </w:p>
    <w:p w14:paraId="58B1CA48" w14:textId="77777777" w:rsidR="003C22BF" w:rsidRPr="002A63BA" w:rsidRDefault="003C22BF" w:rsidP="00FF3EE4">
      <w:pPr>
        <w:autoSpaceDE w:val="0"/>
        <w:autoSpaceDN w:val="0"/>
        <w:adjustRightInd w:val="0"/>
        <w:spacing w:after="0" w:line="276" w:lineRule="auto"/>
        <w:rPr>
          <w:rFonts w:ascii="Open Sans" w:hAnsi="Open Sans" w:cs="Open Sans"/>
          <w:iCs/>
        </w:rPr>
      </w:pPr>
    </w:p>
    <w:p w14:paraId="37AA034C" w14:textId="77777777" w:rsidR="003C22BF" w:rsidRPr="002A63BA" w:rsidRDefault="003C22BF" w:rsidP="00FF3EE4">
      <w:pPr>
        <w:autoSpaceDE w:val="0"/>
        <w:autoSpaceDN w:val="0"/>
        <w:adjustRightInd w:val="0"/>
        <w:spacing w:after="0" w:line="276" w:lineRule="auto"/>
        <w:rPr>
          <w:rFonts w:ascii="Open Sans" w:hAnsi="Open Sans" w:cs="Open Sans"/>
          <w:iCs/>
        </w:rPr>
      </w:pPr>
      <w:r w:rsidRPr="002A63BA">
        <w:rPr>
          <w:rFonts w:ascii="Open Sans" w:hAnsi="Open Sans" w:cs="Open Sans"/>
          <w:iCs/>
        </w:rPr>
        <w:t xml:space="preserve">Derickson (2017) discusses two popular trends in urban governance, smart and resilient cities, which represent the governance of the city as a complex adaptive system that tends to anticipate and affect its future. She highlights the overly technocratic realm that is solely focused on surviving the possible future shocks and maintaining the status quo, as opposed to new political and social urban formations. This “post-political” urban governance tends to use collected and aggregated data in predicting and anticipating futures, but it lacks a non-technical side and citizen collaboration to be called anticipatory governance. </w:t>
      </w:r>
    </w:p>
    <w:p w14:paraId="104D5DF8" w14:textId="77777777" w:rsidR="003C22BF" w:rsidRPr="002A63BA" w:rsidRDefault="003C22BF" w:rsidP="00FF3EE4">
      <w:pPr>
        <w:autoSpaceDE w:val="0"/>
        <w:autoSpaceDN w:val="0"/>
        <w:adjustRightInd w:val="0"/>
        <w:spacing w:after="0" w:line="276" w:lineRule="auto"/>
        <w:rPr>
          <w:rFonts w:ascii="Open Sans" w:hAnsi="Open Sans" w:cs="Open Sans"/>
          <w:iCs/>
        </w:rPr>
      </w:pPr>
    </w:p>
    <w:p w14:paraId="031AA107"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Two studies found in the literature discuss the importance of foresight, not mentioning AG. The first one is presented by a case study of a participatory foresight project that included citizens, experts and stakeholders in planning the future of </w:t>
      </w:r>
      <w:r w:rsidRPr="002A63BA">
        <w:rPr>
          <w:rFonts w:ascii="Open Sans" w:hAnsi="Open Sans" w:cs="Open Sans"/>
          <w:b/>
          <w:iCs/>
        </w:rPr>
        <w:t>aging</w:t>
      </w:r>
      <w:r w:rsidRPr="002A63BA">
        <w:rPr>
          <w:rFonts w:ascii="Open Sans" w:hAnsi="Open Sans" w:cs="Open Sans"/>
          <w:iCs/>
        </w:rPr>
        <w:t xml:space="preserve"> in the city. The results show that urban governance needs to consider both technological and human factors when considering innovation (Gudovski et al., 2017). The other paper by Wolfram (2018) highlights the importance of sustainability foresight on the example of three South Korean cities where the assessment of the transformative capacity of studied cities finds the defects in local policies as they automatically follow higher-level policies without contextualization and adjustments, seeking to reconfigure social, technological and ecological systems. </w:t>
      </w:r>
    </w:p>
    <w:p w14:paraId="2FA04A48" w14:textId="77777777" w:rsidR="003C22BF" w:rsidRPr="002A63BA" w:rsidRDefault="003C22BF" w:rsidP="00FF3EE4">
      <w:pPr>
        <w:spacing w:after="0" w:line="276" w:lineRule="auto"/>
        <w:rPr>
          <w:rFonts w:ascii="Open Sans" w:hAnsi="Open Sans" w:cs="Open Sans"/>
          <w:b/>
          <w:iCs/>
        </w:rPr>
      </w:pPr>
    </w:p>
    <w:p w14:paraId="334E839A" w14:textId="232ED346" w:rsidR="003C22BF" w:rsidRPr="002A63BA" w:rsidRDefault="003C22BF" w:rsidP="00FF3EE4">
      <w:pPr>
        <w:pStyle w:val="Naslov2"/>
        <w:spacing w:before="0" w:line="276" w:lineRule="auto"/>
        <w:rPr>
          <w:rFonts w:ascii="Open Sans" w:hAnsi="Open Sans" w:cs="Open Sans"/>
          <w:b w:val="0"/>
          <w:iCs/>
          <w:sz w:val="22"/>
          <w:szCs w:val="22"/>
        </w:rPr>
      </w:pPr>
      <w:r w:rsidRPr="002A63BA">
        <w:rPr>
          <w:rFonts w:ascii="Open Sans" w:hAnsi="Open Sans" w:cs="Open Sans"/>
          <w:iCs/>
          <w:sz w:val="22"/>
          <w:szCs w:val="22"/>
        </w:rPr>
        <w:t>Future actions and research</w:t>
      </w:r>
    </w:p>
    <w:p w14:paraId="661B7473"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Searching the Croatian Scientific Bibliography (CROSBI) and Scopus database, research papers with a topic of anticipatory governance in </w:t>
      </w:r>
      <w:r w:rsidRPr="002A63BA">
        <w:rPr>
          <w:rFonts w:ascii="Open Sans" w:hAnsi="Open Sans" w:cs="Open Sans"/>
          <w:iCs/>
        </w:rPr>
        <w:lastRenderedPageBreak/>
        <w:t xml:space="preserve">Croatia have not been found which proves under researched topic in all public administration levels. </w:t>
      </w:r>
    </w:p>
    <w:p w14:paraId="464F40E2"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Meanwhile, few studies containing foresight topics have been researched by Croatian authors (e.g. Zovko (2013) and Dabić in Gibson et al. (2018)). There is a study by Nyuur et al. (2015), covering the corporate sector, focused on the foresight capacities of small and medium companies in Croatia. Foresight studies at local, regional or central government have not been identified which points to a great gap in the literature that should be investigated. Such results may point to scarce or non-existing foresight included in the policies. To fill this gap further, the investigation is needed primarily in implementing AG and foresight practices in the public sector and in highlighting the role of citizens and other stakeholders in cities especially. </w:t>
      </w:r>
    </w:p>
    <w:p w14:paraId="69790786" w14:textId="77777777" w:rsidR="003C22BF" w:rsidRPr="002A63BA" w:rsidRDefault="003C22BF" w:rsidP="00FF3EE4">
      <w:pPr>
        <w:spacing w:after="0" w:line="276" w:lineRule="auto"/>
        <w:rPr>
          <w:rFonts w:ascii="Open Sans" w:hAnsi="Open Sans" w:cs="Open Sans"/>
          <w:iCs/>
        </w:rPr>
      </w:pPr>
    </w:p>
    <w:p w14:paraId="63228F52"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Mentioned gaps in the literature can be addressed by the following research propositions:</w:t>
      </w:r>
    </w:p>
    <w:p w14:paraId="3FE12F5B" w14:textId="77777777" w:rsidR="003C22BF" w:rsidRPr="002A63BA" w:rsidRDefault="003C22BF" w:rsidP="00FF3EE4">
      <w:pPr>
        <w:spacing w:after="0" w:line="276" w:lineRule="auto"/>
        <w:rPr>
          <w:rFonts w:ascii="Open Sans" w:hAnsi="Open Sans" w:cs="Open Sans"/>
          <w:iCs/>
        </w:rPr>
      </w:pPr>
    </w:p>
    <w:p w14:paraId="3CE2857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As insufficient research from the public administration perspective has been noted as a finding and research gap, solutions can be developed by intensifying the academic and public sector cooperation, which will lead to more foresight implementation studies. </w:t>
      </w:r>
    </w:p>
    <w:p w14:paraId="5927AE34"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b/>
          <w:iCs/>
        </w:rPr>
        <w:t>Proposition 1.</w:t>
      </w:r>
      <w:r w:rsidRPr="002A63BA">
        <w:rPr>
          <w:rFonts w:ascii="Open Sans" w:hAnsi="Open Sans" w:cs="Open Sans"/>
          <w:iCs/>
        </w:rPr>
        <w:t xml:space="preserve"> Conducting (gaming) scenario building studies within higher education institutions (HEI) and public institutions while working on tackling different future problems in different areas. By incorporating foresight tools, it is possible to raise awareness among public officials and show the importance of why it is beneficial to include anticipatory governance in urban governance, making it part of strategies, and later, on policies and legislation. The needs of citizens and other stakeholders should be included as well. </w:t>
      </w:r>
    </w:p>
    <w:p w14:paraId="6252D7A8" w14:textId="77777777" w:rsidR="003C22BF" w:rsidRPr="002A63BA" w:rsidRDefault="003C22BF" w:rsidP="00FF3EE4">
      <w:pPr>
        <w:spacing w:after="0" w:line="276" w:lineRule="auto"/>
        <w:rPr>
          <w:rFonts w:ascii="Open Sans" w:hAnsi="Open Sans" w:cs="Open Sans"/>
          <w:iCs/>
        </w:rPr>
      </w:pPr>
    </w:p>
    <w:p w14:paraId="639C632E" w14:textId="05653CB0" w:rsidR="003C22BF" w:rsidRPr="006F0B57" w:rsidRDefault="003C22BF" w:rsidP="00FF3EE4">
      <w:pPr>
        <w:spacing w:after="0" w:line="276" w:lineRule="auto"/>
        <w:rPr>
          <w:rFonts w:ascii="Open Sans" w:hAnsi="Open Sans" w:cs="Open Sans"/>
          <w:iCs/>
        </w:rPr>
      </w:pPr>
      <w:r w:rsidRPr="002A63BA">
        <w:rPr>
          <w:rFonts w:ascii="Open Sans" w:hAnsi="Open Sans" w:cs="Open Sans"/>
          <w:b/>
          <w:iCs/>
        </w:rPr>
        <w:t>Proposition 2</w:t>
      </w:r>
      <w:r w:rsidRPr="002A63BA">
        <w:rPr>
          <w:rFonts w:ascii="Open Sans" w:hAnsi="Open Sans" w:cs="Open Sans"/>
          <w:iCs/>
        </w:rPr>
        <w:t xml:space="preserve">. Measuring the impact of pilot foresight studies and final solutions in the forms of public policies is very important. For that purpose, there is a need to develop and test impact indicators to measure AG benefits. </w:t>
      </w:r>
    </w:p>
    <w:p w14:paraId="0195C0F1" w14:textId="77777777" w:rsidR="003C22BF" w:rsidRPr="002A63BA" w:rsidRDefault="003C22BF" w:rsidP="00FF3EE4">
      <w:pPr>
        <w:pStyle w:val="N1"/>
      </w:pPr>
      <w:r w:rsidRPr="002A63BA">
        <w:lastRenderedPageBreak/>
        <w:t>Conclusion</w:t>
      </w:r>
    </w:p>
    <w:p w14:paraId="6917A03C" w14:textId="77777777" w:rsidR="003C22BF" w:rsidRPr="002A63BA" w:rsidRDefault="003C22BF" w:rsidP="00FF3EE4">
      <w:pPr>
        <w:spacing w:after="0" w:line="276" w:lineRule="auto"/>
        <w:rPr>
          <w:rFonts w:ascii="Open Sans" w:hAnsi="Open Sans" w:cs="Open Sans"/>
          <w:iCs/>
        </w:rPr>
      </w:pPr>
      <w:r w:rsidRPr="002A63BA">
        <w:rPr>
          <w:rFonts w:ascii="Open Sans" w:hAnsi="Open Sans" w:cs="Open Sans"/>
          <w:iCs/>
        </w:rPr>
        <w:t xml:space="preserve">Anticipatory governance is required at every scale, from communal to global (Fuerth, 2009). It should be designed to employ foresight that would result in governments that are able to foreseen and adapt to future changes. </w:t>
      </w:r>
    </w:p>
    <w:p w14:paraId="4A6B10F6" w14:textId="77777777" w:rsidR="003C22BF" w:rsidRPr="002A63BA" w:rsidRDefault="003C22BF" w:rsidP="00FF3EE4">
      <w:pPr>
        <w:spacing w:after="0" w:line="276" w:lineRule="auto"/>
        <w:rPr>
          <w:rFonts w:ascii="Open Sans" w:hAnsi="Open Sans" w:cs="Open Sans"/>
          <w:iCs/>
        </w:rPr>
      </w:pPr>
    </w:p>
    <w:p w14:paraId="48F0EE1D" w14:textId="377BBE18" w:rsidR="003C22BF" w:rsidRPr="00915817" w:rsidRDefault="003C22BF" w:rsidP="00915817">
      <w:pPr>
        <w:spacing w:after="0" w:line="276" w:lineRule="auto"/>
        <w:rPr>
          <w:rFonts w:ascii="Open Sans" w:hAnsi="Open Sans" w:cs="Open Sans"/>
          <w:iCs/>
        </w:rPr>
      </w:pPr>
      <w:r w:rsidRPr="002A63BA">
        <w:rPr>
          <w:rFonts w:ascii="Open Sans" w:hAnsi="Open Sans" w:cs="Open Sans"/>
          <w:iCs/>
        </w:rPr>
        <w:t xml:space="preserve">In the process of establishing AG, city governments should establish well-resourced systems and structures in partnership with citizens, which would allow continuous citizen involvement (Ramos, 2017) in form of different participatory foresight methods. This paper explains the main principles of AG and foresight, at the same time explaining three different participatory foresight methods that can assist local governments (cities) to launch foresight activities in an attempt to gather knowledge that will be later used in managing the city. Having the tools (different 3 SES games including city greening, future mobility and eco-innovation) and tool knowledge, the author proposes conducting the SES game with graduate students during the course Smart city management at the Faculty of Economics, Business and Tourism, as a first step in promoting participatory foresight in the Croatian context, needed for urban development. </w:t>
      </w:r>
    </w:p>
    <w:p w14:paraId="5DEB9797" w14:textId="77777777" w:rsidR="003C22BF" w:rsidRPr="002A63BA" w:rsidRDefault="003C22BF" w:rsidP="00915817">
      <w:pPr>
        <w:pStyle w:val="N1"/>
      </w:pPr>
      <w:r w:rsidRPr="002A63BA">
        <w:t>References</w:t>
      </w:r>
    </w:p>
    <w:p w14:paraId="32235984"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Abt, C. C. (1970). </w:t>
      </w:r>
      <w:r w:rsidRPr="002A63BA">
        <w:rPr>
          <w:rFonts w:ascii="Open Sans" w:hAnsi="Open Sans" w:cs="Open Sans"/>
          <w:i/>
        </w:rPr>
        <w:t>Serious Games</w:t>
      </w:r>
      <w:r w:rsidRPr="002A63BA">
        <w:rPr>
          <w:rFonts w:ascii="Open Sans" w:hAnsi="Open Sans" w:cs="Open Sans"/>
          <w:iCs/>
        </w:rPr>
        <w:t>. Viking Press, New York.</w:t>
      </w:r>
    </w:p>
    <w:p w14:paraId="112DF8BE"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Bächler, G. (2001). Conflict transformation through state reform. In: </w:t>
      </w:r>
      <w:r w:rsidRPr="002A63BA">
        <w:rPr>
          <w:rFonts w:ascii="Open Sans" w:hAnsi="Open Sans" w:cs="Open Sans"/>
          <w:i/>
        </w:rPr>
        <w:t>Berghof Handbook for Conflict Transformation</w:t>
      </w:r>
      <w:r w:rsidRPr="002A63BA">
        <w:rPr>
          <w:rFonts w:ascii="Open Sans" w:hAnsi="Open Sans" w:cs="Open Sans"/>
          <w:iCs/>
        </w:rPr>
        <w:t xml:space="preserve">. </w:t>
      </w:r>
    </w:p>
    <w:p w14:paraId="2BAC580F"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Barben, D., Fisher, E., Selin, C., Guston, D.H. (2008). Anticipatory governance of nanotechnology: Foresight, engagement, and integration. In: Hackett, E.J., Amsterdamska, O., Lynch, M., Wajcman, J. (eds). </w:t>
      </w:r>
      <w:r w:rsidRPr="002A63BA">
        <w:rPr>
          <w:rFonts w:ascii="Open Sans" w:hAnsi="Open Sans" w:cs="Open Sans"/>
          <w:i/>
        </w:rPr>
        <w:t>The Handbook of Science and Technology Studies</w:t>
      </w:r>
      <w:r w:rsidRPr="002A63BA">
        <w:rPr>
          <w:rFonts w:ascii="Open Sans" w:hAnsi="Open Sans" w:cs="Open Sans"/>
          <w:iCs/>
        </w:rPr>
        <w:t xml:space="preserve">. Cambridge, MA: The MIT Press, pp. 979–1000. </w:t>
      </w:r>
    </w:p>
    <w:p w14:paraId="0DBAF26C"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Boenink, M. (2013). Anticipating the future of technology and society by way of (plausible) scenarios: fruitful, futile or fraught with danger?. </w:t>
      </w:r>
      <w:r w:rsidRPr="002A63BA">
        <w:rPr>
          <w:rFonts w:ascii="Open Sans" w:hAnsi="Open Sans" w:cs="Open Sans"/>
          <w:i/>
        </w:rPr>
        <w:lastRenderedPageBreak/>
        <w:t>International Journal of Foresight and Innovation Policy</w:t>
      </w:r>
      <w:r w:rsidRPr="002A63BA">
        <w:rPr>
          <w:rFonts w:ascii="Open Sans" w:hAnsi="Open Sans" w:cs="Open Sans"/>
          <w:iCs/>
        </w:rPr>
        <w:t xml:space="preserve">, 9, Nos. 2/3/4, pp.148–161. </w:t>
      </w:r>
    </w:p>
    <w:p w14:paraId="57F2CAD6"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Bontoux, L., Sweeney, J. A., Rosa, A. B., Bauer, A., Bengtsson, D., Bock, A. K., ... Watson, R. (2020). A Game for All Seasons: Lessons and Learnings from the JRC's Scenario Exploration System. </w:t>
      </w:r>
      <w:r w:rsidRPr="002A63BA">
        <w:rPr>
          <w:rFonts w:ascii="Open Sans" w:hAnsi="Open Sans" w:cs="Open Sans"/>
          <w:i/>
        </w:rPr>
        <w:t>World Future Review</w:t>
      </w:r>
      <w:r w:rsidRPr="002A63BA">
        <w:rPr>
          <w:rFonts w:ascii="Open Sans" w:hAnsi="Open Sans" w:cs="Open Sans"/>
          <w:iCs/>
        </w:rPr>
        <w:t xml:space="preserve">, 12(1), pp. 81-103. </w:t>
      </w:r>
    </w:p>
    <w:p w14:paraId="185C5706"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Bourgeois, R., Penunia, E., Bisht, S., Boruk, D. (2017). Foresight for all: co-elaborative scenario building and empowerment. </w:t>
      </w:r>
      <w:r w:rsidRPr="002A63BA">
        <w:rPr>
          <w:rFonts w:ascii="Open Sans" w:hAnsi="Open Sans" w:cs="Open Sans"/>
          <w:i/>
        </w:rPr>
        <w:t>Technol. Forecast Soc. Change</w:t>
      </w:r>
      <w:r w:rsidRPr="002A63BA">
        <w:rPr>
          <w:rFonts w:ascii="Open Sans" w:hAnsi="Open Sans" w:cs="Open Sans"/>
          <w:iCs/>
        </w:rPr>
        <w:t>, 124, pp. 178–188.</w:t>
      </w:r>
    </w:p>
    <w:p w14:paraId="29834E82"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Conley, S.N. (2020). Who gets to be born? The anticipatory governance of pre-implantation genetic diagnosis technology in the United Kingdom from 1978–2001. </w:t>
      </w:r>
      <w:r w:rsidRPr="002A63BA">
        <w:rPr>
          <w:rFonts w:ascii="Open Sans" w:hAnsi="Open Sans" w:cs="Open Sans"/>
          <w:i/>
        </w:rPr>
        <w:t>Journal of Responsible Innovation</w:t>
      </w:r>
      <w:r w:rsidRPr="002A63BA">
        <w:rPr>
          <w:rFonts w:ascii="Open Sans" w:hAnsi="Open Sans" w:cs="Open Sans"/>
          <w:iCs/>
        </w:rPr>
        <w:t>, 7(3), pp. 507-527.</w:t>
      </w:r>
    </w:p>
    <w:p w14:paraId="2D679616"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Derickson, K. D. (2017). Urban geography III. </w:t>
      </w:r>
      <w:r w:rsidRPr="002A63BA">
        <w:rPr>
          <w:rFonts w:ascii="Open Sans" w:hAnsi="Open Sans" w:cs="Open Sans"/>
          <w:i/>
        </w:rPr>
        <w:t>Progress in Human Geography</w:t>
      </w:r>
      <w:r w:rsidRPr="002A63BA">
        <w:rPr>
          <w:rFonts w:ascii="Open Sans" w:hAnsi="Open Sans" w:cs="Open Sans"/>
          <w:iCs/>
        </w:rPr>
        <w:t xml:space="preserve">, 42(3), pp. 425–435. </w:t>
      </w:r>
    </w:p>
    <w:p w14:paraId="79F5A10E"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Diep, L., Cabibihan J. J., Wolbring, G. (2014). Social robotics through an anticipatory governance lens. </w:t>
      </w:r>
      <w:r w:rsidRPr="002A63BA">
        <w:rPr>
          <w:rFonts w:ascii="Open Sans" w:hAnsi="Open Sans" w:cs="Open Sans"/>
          <w:i/>
        </w:rPr>
        <w:t>Lecture Notes in Computer Science</w:t>
      </w:r>
      <w:r w:rsidRPr="002A63BA">
        <w:rPr>
          <w:rFonts w:ascii="Open Sans" w:hAnsi="Open Sans" w:cs="Open Sans"/>
          <w:iCs/>
        </w:rPr>
        <w:t xml:space="preserve"> (including subseries Lecture Notes in Artificial Intelligence and Lecture Notes in Bioinformatics), 8755 LNCS, pp. 115-124.</w:t>
      </w:r>
    </w:p>
    <w:p w14:paraId="5F3098D6"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European Commission (2021). 2020 Strategic Foresight Report: Charting the course towards a more resilient Europe. Available at: </w:t>
      </w:r>
      <w:hyperlink r:id="rId28" w:history="1">
        <w:r w:rsidRPr="002A63BA">
          <w:rPr>
            <w:rStyle w:val="Hiperveza"/>
            <w:rFonts w:ascii="Open Sans" w:hAnsi="Open Sans" w:cs="Open Sans"/>
            <w:iCs/>
          </w:rPr>
          <w:t>https://ec.europa.eu/info/strategy/strategic-planning/strategic-foresight/2020-strategic-foresight-report_en</w:t>
        </w:r>
      </w:hyperlink>
      <w:r w:rsidRPr="002A63BA">
        <w:rPr>
          <w:rFonts w:ascii="Open Sans" w:hAnsi="Open Sans" w:cs="Open Sans"/>
          <w:iCs/>
        </w:rPr>
        <w:t xml:space="preserve"> (Accessed: March 30, 2021).</w:t>
      </w:r>
    </w:p>
    <w:p w14:paraId="6664223B"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Foresight Futures (2021). Foresight Approaches. Available at: </w:t>
      </w:r>
      <w:hyperlink r:id="rId29" w:history="1">
        <w:r w:rsidRPr="002A63BA">
          <w:rPr>
            <w:rStyle w:val="Hiperveza"/>
            <w:rFonts w:ascii="Open Sans" w:hAnsi="Open Sans" w:cs="Open Sans"/>
            <w:iCs/>
          </w:rPr>
          <w:t>https://foresightfutures.net/foresight-approaches</w:t>
        </w:r>
      </w:hyperlink>
      <w:r w:rsidRPr="002A63BA">
        <w:rPr>
          <w:rFonts w:ascii="Open Sans" w:hAnsi="Open Sans" w:cs="Open Sans"/>
          <w:iCs/>
        </w:rPr>
        <w:t xml:space="preserve"> (Accessed: March 30, 2021).</w:t>
      </w:r>
    </w:p>
    <w:p w14:paraId="2A821F21"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Fuerth L.S. (2009). Foresight and anticipatory governance. </w:t>
      </w:r>
      <w:r w:rsidRPr="002A63BA">
        <w:rPr>
          <w:rFonts w:ascii="Open Sans" w:hAnsi="Open Sans" w:cs="Open Sans"/>
          <w:i/>
        </w:rPr>
        <w:t>Foresight</w:t>
      </w:r>
      <w:r w:rsidRPr="002A63BA">
        <w:rPr>
          <w:rFonts w:ascii="Open Sans" w:hAnsi="Open Sans" w:cs="Open Sans"/>
          <w:iCs/>
        </w:rPr>
        <w:t>, 11(4), pp. 14-32.</w:t>
      </w:r>
    </w:p>
    <w:p w14:paraId="5CF10BD4"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Garavaglia, C., Sancino, A., Trivellato, B. (2021). Italian mayors and the management of COVID-19: adaptive leadership for organizing local governance. </w:t>
      </w:r>
      <w:r w:rsidRPr="002A63BA">
        <w:rPr>
          <w:rFonts w:ascii="Open Sans" w:hAnsi="Open Sans" w:cs="Open Sans"/>
          <w:i/>
        </w:rPr>
        <w:t>Eurasian Geography and Economics</w:t>
      </w:r>
      <w:r w:rsidRPr="002A63BA">
        <w:rPr>
          <w:rFonts w:ascii="Open Sans" w:hAnsi="Open Sans" w:cs="Open Sans"/>
          <w:iCs/>
        </w:rPr>
        <w:t>, 62(1), pp. 76-92.</w:t>
      </w:r>
    </w:p>
    <w:p w14:paraId="265FB1DD"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lastRenderedPageBreak/>
        <w:t xml:space="preserve">Gibson, E., Daim, T., Garces, E., Dabic, M. (2018). Technology Foresight: A Bibliometric Analysis to Identify Leading and Emerging Methods. </w:t>
      </w:r>
      <w:r w:rsidRPr="002A63BA">
        <w:rPr>
          <w:rFonts w:ascii="Open Sans" w:hAnsi="Open Sans" w:cs="Open Sans"/>
          <w:i/>
        </w:rPr>
        <w:t>Foresight and STI Governance</w:t>
      </w:r>
      <w:r w:rsidRPr="002A63BA">
        <w:rPr>
          <w:rFonts w:ascii="Open Sans" w:hAnsi="Open Sans" w:cs="Open Sans"/>
          <w:iCs/>
        </w:rPr>
        <w:t>, 12(1), pp. 6–24.</w:t>
      </w:r>
    </w:p>
    <w:p w14:paraId="403729B3"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Gudowsky, N., Peissl, W. (2016). Human centred science and technology-transdisciplinary foresight and co-creation as tools for active needs-based innovation governance. </w:t>
      </w:r>
      <w:r w:rsidRPr="002A63BA">
        <w:rPr>
          <w:rFonts w:ascii="Open Sans" w:hAnsi="Open Sans" w:cs="Open Sans"/>
          <w:i/>
        </w:rPr>
        <w:t>European Journal of Futures</w:t>
      </w:r>
      <w:r w:rsidRPr="002A63BA">
        <w:rPr>
          <w:rFonts w:ascii="Open Sans" w:hAnsi="Open Sans" w:cs="Open Sans"/>
          <w:iCs/>
        </w:rPr>
        <w:t xml:space="preserve">, 4(8). </w:t>
      </w:r>
    </w:p>
    <w:p w14:paraId="1F479DA2"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Gudowsky, N., Sotoudeh, M., Capari, L., Wilfing, H. (2017). Transdisciplinary forward-looking agenda setting for age-friendly, human centered cities. </w:t>
      </w:r>
      <w:r w:rsidRPr="002A63BA">
        <w:rPr>
          <w:rFonts w:ascii="Open Sans" w:hAnsi="Open Sans" w:cs="Open Sans"/>
          <w:i/>
        </w:rPr>
        <w:t>Futures</w:t>
      </w:r>
      <w:r w:rsidRPr="002A63BA">
        <w:rPr>
          <w:rFonts w:ascii="Open Sans" w:hAnsi="Open Sans" w:cs="Open Sans"/>
          <w:iCs/>
        </w:rPr>
        <w:t>, 90, pp. 16-30.</w:t>
      </w:r>
    </w:p>
    <w:p w14:paraId="19770F05"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Gupta, A. (2001). Searching for shared norms: Global anticipatory governance of biotechnology. PhD Thesis, Yale University, New Haven, CT.</w:t>
      </w:r>
    </w:p>
    <w:p w14:paraId="0787EB04"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Guston, D. H. (2014). Understanding ‘anticipatory governance’. </w:t>
      </w:r>
      <w:r w:rsidRPr="002A63BA">
        <w:rPr>
          <w:rFonts w:ascii="Open Sans" w:hAnsi="Open Sans" w:cs="Open Sans"/>
          <w:i/>
        </w:rPr>
        <w:t>Social Studies of Science</w:t>
      </w:r>
      <w:r w:rsidRPr="002A63BA">
        <w:rPr>
          <w:rFonts w:ascii="Open Sans" w:hAnsi="Open Sans" w:cs="Open Sans"/>
          <w:iCs/>
        </w:rPr>
        <w:t>, 44(2), pp. 218-242.</w:t>
      </w:r>
    </w:p>
    <w:p w14:paraId="044FB4C6"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Inayatullah, S. (2008). Six pillars: futures thinking for transforming. </w:t>
      </w:r>
      <w:r w:rsidRPr="002A63BA">
        <w:rPr>
          <w:rFonts w:ascii="Open Sans" w:hAnsi="Open Sans" w:cs="Open Sans"/>
          <w:i/>
        </w:rPr>
        <w:t>Foresight</w:t>
      </w:r>
      <w:r w:rsidRPr="002A63BA">
        <w:rPr>
          <w:rFonts w:ascii="Open Sans" w:hAnsi="Open Sans" w:cs="Open Sans"/>
          <w:iCs/>
        </w:rPr>
        <w:t xml:space="preserve">, 10(1), pp. 4-21. </w:t>
      </w:r>
    </w:p>
    <w:p w14:paraId="00D6CBE0"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Institute for the future (2020). Sustanability Outlook Scenario Perspectives 2009-2020: Anticipatory governance. Available at: </w:t>
      </w:r>
      <w:hyperlink r:id="rId30" w:history="1">
        <w:r w:rsidRPr="002A63BA">
          <w:rPr>
            <w:rStyle w:val="Hiperveza"/>
            <w:rFonts w:ascii="Open Sans" w:hAnsi="Open Sans" w:cs="Open Sans"/>
            <w:iCs/>
          </w:rPr>
          <w:t>https://www.iftf.org/uploads/media/SR-1272_anticip_govern-1.pdf</w:t>
        </w:r>
      </w:hyperlink>
      <w:r w:rsidRPr="002A63BA">
        <w:rPr>
          <w:rFonts w:ascii="Open Sans" w:hAnsi="Open Sans" w:cs="Open Sans"/>
          <w:iCs/>
        </w:rPr>
        <w:t xml:space="preserve"> (Accessed: March 30, 2021).</w:t>
      </w:r>
    </w:p>
    <w:p w14:paraId="4B580FD7"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Jackson, M. (2013). Practical foresight guide. Available at: </w:t>
      </w:r>
      <w:hyperlink r:id="rId31" w:history="1">
        <w:r w:rsidRPr="002A63BA">
          <w:rPr>
            <w:rStyle w:val="Hiperveza"/>
            <w:rFonts w:ascii="Open Sans" w:hAnsi="Open Sans" w:cs="Open Sans"/>
            <w:iCs/>
          </w:rPr>
          <w:t>https://www.shapingtomorrow.com/media-centre/pf-ch03.pdf</w:t>
        </w:r>
      </w:hyperlink>
      <w:r w:rsidRPr="002A63BA">
        <w:rPr>
          <w:rFonts w:ascii="Open Sans" w:hAnsi="Open Sans" w:cs="Open Sans"/>
          <w:iCs/>
        </w:rPr>
        <w:t xml:space="preserve"> (Accessed: March 30, 2021).</w:t>
      </w:r>
    </w:p>
    <w:p w14:paraId="0C647F2E"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Keenan, M. (2007). Combining Foresight Methods for Impact, NISTEP 3rd International Conference on Fore-sight, Tokyo. Available at: </w:t>
      </w:r>
      <w:hyperlink r:id="rId32" w:history="1">
        <w:r w:rsidRPr="002A63BA">
          <w:rPr>
            <w:rStyle w:val="Hiperveza"/>
            <w:rFonts w:ascii="Open Sans" w:hAnsi="Open Sans" w:cs="Open Sans"/>
            <w:iCs/>
          </w:rPr>
          <w:t>http://www.nistep.go.jp/IC/ic071119/pdf/3-3_Keenan.pdf</w:t>
        </w:r>
      </w:hyperlink>
      <w:r w:rsidRPr="002A63BA">
        <w:rPr>
          <w:rFonts w:ascii="Open Sans" w:hAnsi="Open Sans" w:cs="Open Sans"/>
          <w:iCs/>
        </w:rPr>
        <w:t xml:space="preserve"> (Accessed: March 30, 2021).</w:t>
      </w:r>
    </w:p>
    <w:p w14:paraId="066FBF03"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Kienegger, M., Hörlesberger, M., Giesecke, S. (2015). From Foresight to Anticipation. Austrian Institute for Technology. First International Conference on Anticipation in Trento, Italy. Available at: </w:t>
      </w:r>
      <w:hyperlink r:id="rId33" w:history="1">
        <w:r w:rsidRPr="002A63BA">
          <w:rPr>
            <w:rStyle w:val="Hiperveza"/>
            <w:rFonts w:ascii="Open Sans" w:hAnsi="Open Sans" w:cs="Open Sans"/>
            <w:iCs/>
          </w:rPr>
          <w:t>http://www.projectanticipation.org/attachments/article/95/Kienegger%20et%20al..pdf</w:t>
        </w:r>
      </w:hyperlink>
      <w:r w:rsidRPr="002A63BA">
        <w:rPr>
          <w:rFonts w:ascii="Open Sans" w:hAnsi="Open Sans" w:cs="Open Sans"/>
          <w:iCs/>
        </w:rPr>
        <w:t xml:space="preserve"> (Accessed: March 30, 2021).</w:t>
      </w:r>
    </w:p>
    <w:p w14:paraId="07FF8B84"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lastRenderedPageBreak/>
        <w:t xml:space="preserve">Lehouxa, P., Millerc, F. A., Williams-Jones, B. (2020). Anticipatory governance and moral imagination: Methodological insights from a scenario-based public deliberation study. </w:t>
      </w:r>
      <w:r w:rsidRPr="002A63BA">
        <w:rPr>
          <w:rFonts w:ascii="Open Sans" w:hAnsi="Open Sans" w:cs="Open Sans"/>
          <w:i/>
        </w:rPr>
        <w:t>Technological Forecasting &amp; Social Change</w:t>
      </w:r>
      <w:r w:rsidRPr="002A63BA">
        <w:rPr>
          <w:rFonts w:ascii="Open Sans" w:hAnsi="Open Sans" w:cs="Open Sans"/>
          <w:iCs/>
        </w:rPr>
        <w:t>, 119800.</w:t>
      </w:r>
    </w:p>
    <w:p w14:paraId="71980DFC"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Lombardo, T. (2008). </w:t>
      </w:r>
      <w:r w:rsidRPr="002A63BA">
        <w:rPr>
          <w:rFonts w:ascii="Open Sans" w:hAnsi="Open Sans" w:cs="Open Sans"/>
          <w:i/>
        </w:rPr>
        <w:t>Contemporary Futurist Thought</w:t>
      </w:r>
      <w:r w:rsidRPr="002A63BA">
        <w:rPr>
          <w:rFonts w:ascii="Open Sans" w:hAnsi="Open Sans" w:cs="Open Sans"/>
          <w:iCs/>
        </w:rPr>
        <w:t>. Author House, Bloomington, Milton Keynes.</w:t>
      </w:r>
    </w:p>
    <w:p w14:paraId="715D5DE0" w14:textId="77777777" w:rsidR="003C22BF" w:rsidRPr="002A63BA" w:rsidRDefault="003C22BF" w:rsidP="00915817">
      <w:pPr>
        <w:pStyle w:val="Odlomakpopisa"/>
        <w:numPr>
          <w:ilvl w:val="0"/>
          <w:numId w:val="6"/>
        </w:numPr>
        <w:spacing w:line="276" w:lineRule="auto"/>
        <w:ind w:left="357" w:hanging="357"/>
        <w:rPr>
          <w:rFonts w:ascii="Open Sans" w:hAnsi="Open Sans" w:cs="Open Sans"/>
          <w:iCs/>
        </w:rPr>
      </w:pPr>
      <w:r w:rsidRPr="002A63BA">
        <w:rPr>
          <w:rFonts w:ascii="Open Sans" w:hAnsi="Open Sans" w:cs="Open Sans"/>
          <w:iCs/>
        </w:rPr>
        <w:t xml:space="preserve">Meijer, A., Rodríguez-Bolívar, M. (2016). Governing the smart city: A review of the literature on smart urban governance. </w:t>
      </w:r>
      <w:r w:rsidRPr="002A63BA">
        <w:rPr>
          <w:rFonts w:ascii="Open Sans" w:hAnsi="Open Sans" w:cs="Open Sans"/>
          <w:i/>
        </w:rPr>
        <w:t>International Review of Administrative Sciences</w:t>
      </w:r>
      <w:r w:rsidRPr="002A63BA">
        <w:rPr>
          <w:rFonts w:ascii="Open Sans" w:hAnsi="Open Sans" w:cs="Open Sans"/>
          <w:iCs/>
        </w:rPr>
        <w:t xml:space="preserve">, 82, pp. 392–408. </w:t>
      </w:r>
    </w:p>
    <w:p w14:paraId="25E758C8" w14:textId="77777777" w:rsidR="003C22BF" w:rsidRPr="002A63BA" w:rsidRDefault="003C22BF" w:rsidP="00915817">
      <w:pPr>
        <w:pStyle w:val="Odlomakpopisa"/>
        <w:numPr>
          <w:ilvl w:val="0"/>
          <w:numId w:val="6"/>
        </w:numPr>
        <w:spacing w:line="276" w:lineRule="auto"/>
        <w:ind w:left="357" w:hanging="357"/>
        <w:rPr>
          <w:rFonts w:ascii="Open Sans" w:hAnsi="Open Sans" w:cs="Open Sans"/>
          <w:iCs/>
        </w:rPr>
      </w:pPr>
      <w:r w:rsidRPr="002A63BA">
        <w:rPr>
          <w:rFonts w:ascii="Open Sans" w:hAnsi="Open Sans" w:cs="Open Sans"/>
          <w:iCs/>
        </w:rPr>
        <w:t xml:space="preserve">Milakis, D., Müller, S. (2021). The societal dimension of the automated vehicles transition: Towards a research agenda. </w:t>
      </w:r>
      <w:r w:rsidRPr="002A63BA">
        <w:rPr>
          <w:rFonts w:ascii="Open Sans" w:hAnsi="Open Sans" w:cs="Open Sans"/>
          <w:i/>
        </w:rPr>
        <w:t>Cities</w:t>
      </w:r>
      <w:r w:rsidRPr="002A63BA">
        <w:rPr>
          <w:rFonts w:ascii="Open Sans" w:hAnsi="Open Sans" w:cs="Open Sans"/>
          <w:iCs/>
        </w:rPr>
        <w:t>, 113, 103144.</w:t>
      </w:r>
    </w:p>
    <w:p w14:paraId="3745B49E"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Nyuur, R.B., Brečić, R., Sobiesuo. P. (2015). Foresight capabilities and SME product/service adaptiveness: the moderating effect of industry dynamism. </w:t>
      </w:r>
      <w:r w:rsidRPr="002A63BA">
        <w:rPr>
          <w:rFonts w:ascii="Open Sans" w:hAnsi="Open Sans" w:cs="Open Sans"/>
          <w:i/>
        </w:rPr>
        <w:t>International Journal of Foresight and Innovation Policy</w:t>
      </w:r>
      <w:r w:rsidRPr="002A63BA">
        <w:rPr>
          <w:rFonts w:ascii="Open Sans" w:hAnsi="Open Sans" w:cs="Open Sans"/>
          <w:iCs/>
        </w:rPr>
        <w:t xml:space="preserve">, 10, Nos. 2/3/4, pp.145–164. </w:t>
      </w:r>
    </w:p>
    <w:p w14:paraId="082EE193"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OECD (2019). Envisioning the future, in Public Value in Public Service Transformation: </w:t>
      </w:r>
      <w:r w:rsidRPr="002A63BA">
        <w:rPr>
          <w:rFonts w:ascii="Open Sans" w:hAnsi="Open Sans" w:cs="Open Sans"/>
          <w:i/>
        </w:rPr>
        <w:t>Working with Change</w:t>
      </w:r>
      <w:r w:rsidRPr="002A63BA">
        <w:rPr>
          <w:rFonts w:ascii="Open Sans" w:hAnsi="Open Sans" w:cs="Open Sans"/>
          <w:iCs/>
        </w:rPr>
        <w:t>, OECD Publishing, Paris. doi: https://doi.org/10.1787/8b310079-en.</w:t>
      </w:r>
    </w:p>
    <w:p w14:paraId="09908585"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Ramos, J. M. (2014). Anticipatory governance: Traditions and trajectories for strategic design. </w:t>
      </w:r>
      <w:r w:rsidRPr="002A63BA">
        <w:rPr>
          <w:rFonts w:ascii="Open Sans" w:hAnsi="Open Sans" w:cs="Open Sans"/>
          <w:i/>
        </w:rPr>
        <w:t>Journal of Futures Studies</w:t>
      </w:r>
      <w:r w:rsidRPr="002A63BA">
        <w:rPr>
          <w:rFonts w:ascii="Open Sans" w:hAnsi="Open Sans" w:cs="Open Sans"/>
          <w:iCs/>
        </w:rPr>
        <w:t>, 19(1), pp. 35-52.</w:t>
      </w:r>
    </w:p>
    <w:p w14:paraId="085EECE0"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Ramos, J. M. (2017). Anticipatory governance and a city as a commons. Available at: </w:t>
      </w:r>
      <w:hyperlink r:id="rId34" w:history="1">
        <w:r w:rsidRPr="002A63BA">
          <w:rPr>
            <w:rStyle w:val="Hiperveza"/>
            <w:rFonts w:ascii="Open Sans" w:hAnsi="Open Sans" w:cs="Open Sans"/>
            <w:iCs/>
          </w:rPr>
          <w:t>https://www.linkedin.com/pulse/anticipatory-governance-city-commons-jose-ramos/</w:t>
        </w:r>
      </w:hyperlink>
      <w:r w:rsidRPr="002A63BA">
        <w:rPr>
          <w:rFonts w:ascii="Open Sans" w:hAnsi="Open Sans" w:cs="Open Sans"/>
          <w:iCs/>
        </w:rPr>
        <w:t xml:space="preserve"> (Accessed: March 30, 2021).</w:t>
      </w:r>
    </w:p>
    <w:p w14:paraId="3CB211A3"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Sarewitz, D. (2011). Anticipatory Governance of Emerging Technologies. </w:t>
      </w:r>
      <w:r w:rsidRPr="002A63BA">
        <w:rPr>
          <w:rFonts w:ascii="Open Sans" w:hAnsi="Open Sans" w:cs="Open Sans"/>
          <w:i/>
        </w:rPr>
        <w:t>International Library of Ethics, Law and Technology</w:t>
      </w:r>
      <w:r w:rsidRPr="002A63BA">
        <w:rPr>
          <w:rFonts w:ascii="Open Sans" w:hAnsi="Open Sans" w:cs="Open Sans"/>
          <w:iCs/>
        </w:rPr>
        <w:t>, 7, pp. 95-105.</w:t>
      </w:r>
    </w:p>
    <w:p w14:paraId="165B5FE7"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Serrao-Neumann, S., Harman, B. P., Low-Choy, D. (2013). The Role of Anticipatory Governance in Local Climate Adaptation: Observations from Australia. </w:t>
      </w:r>
      <w:r w:rsidRPr="002A63BA">
        <w:rPr>
          <w:rFonts w:ascii="Open Sans" w:hAnsi="Open Sans" w:cs="Open Sans"/>
          <w:i/>
        </w:rPr>
        <w:t>Planning Practice and Research</w:t>
      </w:r>
      <w:r w:rsidRPr="002A63BA">
        <w:rPr>
          <w:rFonts w:ascii="Open Sans" w:hAnsi="Open Sans" w:cs="Open Sans"/>
          <w:iCs/>
        </w:rPr>
        <w:t>, 28(4), pp. 440-463.</w:t>
      </w:r>
    </w:p>
    <w:p w14:paraId="4A7AD18C" w14:textId="77777777" w:rsidR="003C22BF" w:rsidRPr="002A63BA" w:rsidRDefault="003C22BF" w:rsidP="00915817">
      <w:pPr>
        <w:pStyle w:val="Odlomakpopisa"/>
        <w:numPr>
          <w:ilvl w:val="0"/>
          <w:numId w:val="6"/>
        </w:numPr>
        <w:autoSpaceDE w:val="0"/>
        <w:autoSpaceDN w:val="0"/>
        <w:adjustRightInd w:val="0"/>
        <w:spacing w:after="0" w:line="276" w:lineRule="auto"/>
        <w:ind w:left="357" w:hanging="357"/>
        <w:rPr>
          <w:rFonts w:ascii="Open Sans" w:hAnsi="Open Sans" w:cs="Open Sans"/>
          <w:iCs/>
        </w:rPr>
      </w:pPr>
      <w:r w:rsidRPr="002A63BA">
        <w:rPr>
          <w:rFonts w:ascii="Open Sans" w:hAnsi="Open Sans" w:cs="Open Sans"/>
          <w:iCs/>
        </w:rPr>
        <w:t xml:space="preserve">Termini, O., Kalafatis, S. E. (2021). The Paradox of Public Trust Shaping Local Climate Change Adaptation. </w:t>
      </w:r>
      <w:r w:rsidRPr="002A63BA">
        <w:rPr>
          <w:rFonts w:ascii="Open Sans" w:hAnsi="Open Sans" w:cs="Open Sans"/>
          <w:i/>
        </w:rPr>
        <w:t>Atmosphere</w:t>
      </w:r>
      <w:r w:rsidRPr="002A63BA">
        <w:rPr>
          <w:rFonts w:ascii="Open Sans" w:hAnsi="Open Sans" w:cs="Open Sans"/>
          <w:iCs/>
        </w:rPr>
        <w:t>, 12, no. 2: 241.</w:t>
      </w:r>
    </w:p>
    <w:p w14:paraId="64C5BD47"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UNIDO – United Nations Industrial Development Organization (2004). Foresight methodologies guide. Available at: </w:t>
      </w:r>
      <w:hyperlink r:id="rId35" w:history="1">
        <w:r w:rsidRPr="002A63BA">
          <w:rPr>
            <w:rStyle w:val="Hiperveza"/>
            <w:rFonts w:ascii="Open Sans" w:hAnsi="Open Sans" w:cs="Open Sans"/>
            <w:iCs/>
          </w:rPr>
          <w:t>https://www.tc.cz/files/istec_publications/textbook2revisedcf_1171283006.pdf</w:t>
        </w:r>
      </w:hyperlink>
      <w:r w:rsidRPr="002A63BA">
        <w:rPr>
          <w:rFonts w:ascii="Open Sans" w:hAnsi="Open Sans" w:cs="Open Sans"/>
          <w:iCs/>
        </w:rPr>
        <w:t xml:space="preserve"> (Accessed: March 30, 2021).</w:t>
      </w:r>
    </w:p>
    <w:p w14:paraId="10FB2955"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Urueña, S. (2019). Understanding “plausibility”: A relational approach to the anticipatory heuristics of future scenarios. </w:t>
      </w:r>
      <w:r w:rsidRPr="002A63BA">
        <w:rPr>
          <w:rFonts w:ascii="Open Sans" w:hAnsi="Open Sans" w:cs="Open Sans"/>
          <w:i/>
        </w:rPr>
        <w:t>Futures</w:t>
      </w:r>
      <w:r w:rsidRPr="002A63BA">
        <w:rPr>
          <w:rFonts w:ascii="Open Sans" w:hAnsi="Open Sans" w:cs="Open Sans"/>
          <w:iCs/>
        </w:rPr>
        <w:t>, 111, pp. 15-25.</w:t>
      </w:r>
    </w:p>
    <w:p w14:paraId="0E6D61DF"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Voros, J. (2003). A generic foresight process framework. </w:t>
      </w:r>
      <w:r w:rsidRPr="002A63BA">
        <w:rPr>
          <w:rFonts w:ascii="Open Sans" w:hAnsi="Open Sans" w:cs="Open Sans"/>
          <w:i/>
        </w:rPr>
        <w:t>Foresight</w:t>
      </w:r>
      <w:r w:rsidRPr="002A63BA">
        <w:rPr>
          <w:rFonts w:ascii="Open Sans" w:hAnsi="Open Sans" w:cs="Open Sans"/>
          <w:iCs/>
        </w:rPr>
        <w:t>, 5(3), pp. 10-21.</w:t>
      </w:r>
    </w:p>
    <w:p w14:paraId="15506023"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Wiek, A., Guston, D., van der Leeuw, S., Selin, C., Shapira, P. (2013). Nanotechnology in the City: Sustainability Challenges and Anticipatory Governance. </w:t>
      </w:r>
      <w:r w:rsidRPr="002A63BA">
        <w:rPr>
          <w:rFonts w:ascii="Open Sans" w:hAnsi="Open Sans" w:cs="Open Sans"/>
          <w:i/>
        </w:rPr>
        <w:t>Journal of Urban Technology</w:t>
      </w:r>
      <w:r w:rsidRPr="002A63BA">
        <w:rPr>
          <w:rFonts w:ascii="Open Sans" w:hAnsi="Open Sans" w:cs="Open Sans"/>
          <w:iCs/>
        </w:rPr>
        <w:t>, 20(2), pp. 45–62.</w:t>
      </w:r>
    </w:p>
    <w:p w14:paraId="4784D410"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Wiek, A., Foley, R. W., Guston, D. H., Bernstein, M. J. (2016). Broken promises and breaking ground for responsible innovation – intervention research to transform business-as-usual in nanotechnology innovation. </w:t>
      </w:r>
      <w:r w:rsidRPr="002A63BA">
        <w:rPr>
          <w:rFonts w:ascii="Open Sans" w:hAnsi="Open Sans" w:cs="Open Sans"/>
          <w:i/>
        </w:rPr>
        <w:t>Technology Analysis and Strategic Management</w:t>
      </w:r>
      <w:r w:rsidRPr="002A63BA">
        <w:rPr>
          <w:rFonts w:ascii="Open Sans" w:hAnsi="Open Sans" w:cs="Open Sans"/>
          <w:iCs/>
        </w:rPr>
        <w:t>, 28(6), pp. 639-650.</w:t>
      </w:r>
    </w:p>
    <w:p w14:paraId="4DC8503D" w14:textId="77777777" w:rsidR="003C22BF" w:rsidRPr="002A63BA" w:rsidRDefault="003C22BF" w:rsidP="00915817">
      <w:pPr>
        <w:pStyle w:val="Odlomakpopisa"/>
        <w:numPr>
          <w:ilvl w:val="0"/>
          <w:numId w:val="6"/>
        </w:numPr>
        <w:spacing w:after="0" w:line="276" w:lineRule="auto"/>
        <w:ind w:left="357" w:hanging="357"/>
        <w:rPr>
          <w:rFonts w:ascii="Open Sans" w:hAnsi="Open Sans" w:cs="Open Sans"/>
          <w:iCs/>
        </w:rPr>
      </w:pPr>
      <w:r w:rsidRPr="002A63BA">
        <w:rPr>
          <w:rFonts w:ascii="Open Sans" w:hAnsi="Open Sans" w:cs="Open Sans"/>
          <w:iCs/>
        </w:rPr>
        <w:t xml:space="preserve">Wolfram, M. (2019). Assessing transformative capacity for sustainable urban regeneration: A comparative study of three South Korean cities. </w:t>
      </w:r>
      <w:r w:rsidRPr="002A63BA">
        <w:rPr>
          <w:rFonts w:ascii="Open Sans" w:hAnsi="Open Sans" w:cs="Open Sans"/>
          <w:i/>
        </w:rPr>
        <w:t>Ambio</w:t>
      </w:r>
      <w:r w:rsidRPr="002A63BA">
        <w:rPr>
          <w:rFonts w:ascii="Open Sans" w:hAnsi="Open Sans" w:cs="Open Sans"/>
          <w:iCs/>
        </w:rPr>
        <w:t>, 48, pp. 478-493.</w:t>
      </w:r>
    </w:p>
    <w:p w14:paraId="31E979F2" w14:textId="39B0A19E" w:rsidR="00AE101A" w:rsidRPr="002A63BA" w:rsidRDefault="00AE101A" w:rsidP="00FF3EE4">
      <w:pPr>
        <w:spacing w:line="276" w:lineRule="auto"/>
        <w:rPr>
          <w:rFonts w:ascii="Open Sans" w:hAnsi="Open Sans" w:cs="Open Sans"/>
        </w:rPr>
      </w:pPr>
    </w:p>
    <w:p w14:paraId="48350B6E"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79B1EBD1" w14:textId="416B0C42" w:rsidR="00AE101A" w:rsidRPr="002A63BA" w:rsidRDefault="00AE101A" w:rsidP="00FF3EE4">
      <w:pPr>
        <w:spacing w:line="276" w:lineRule="auto"/>
        <w:rPr>
          <w:rFonts w:ascii="Open Sans" w:hAnsi="Open Sans" w:cs="Open Sans"/>
        </w:rPr>
      </w:pPr>
    </w:p>
    <w:p w14:paraId="42C212EC"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2A5CC47F" w14:textId="77777777" w:rsidR="00AE101A" w:rsidRPr="002A63BA" w:rsidRDefault="00AE101A" w:rsidP="00FF3EE4">
      <w:pPr>
        <w:spacing w:after="240" w:line="276" w:lineRule="auto"/>
        <w:jc w:val="center"/>
        <w:rPr>
          <w:rFonts w:ascii="Open Sans" w:eastAsia="Times New Roman" w:hAnsi="Open Sans" w:cs="Open Sans"/>
          <w:b/>
          <w:bCs/>
          <w:color w:val="000000" w:themeColor="text1"/>
          <w:sz w:val="24"/>
          <w:szCs w:val="24"/>
          <w:lang w:eastAsia="en-GB"/>
        </w:rPr>
      </w:pPr>
      <w:r w:rsidRPr="002A63BA">
        <w:rPr>
          <w:rFonts w:ascii="Open Sans" w:eastAsia="Times New Roman" w:hAnsi="Open Sans" w:cs="Open Sans"/>
          <w:b/>
          <w:bCs/>
          <w:color w:val="000000" w:themeColor="text1"/>
          <w:sz w:val="24"/>
          <w:szCs w:val="24"/>
          <w:lang w:eastAsia="en-GB"/>
        </w:rPr>
        <w:lastRenderedPageBreak/>
        <w:t>MODELLING OF INTERNAL ORGANIZATION AND EXTERNAL CUSTOMER JOURNEYS IN SMART CITIES</w:t>
      </w:r>
    </w:p>
    <w:p w14:paraId="2BF93207" w14:textId="77777777" w:rsidR="00AE101A" w:rsidRPr="002A63BA" w:rsidRDefault="00AE101A" w:rsidP="00FF3EE4">
      <w:pPr>
        <w:pStyle w:val="N1"/>
      </w:pPr>
      <w:r w:rsidRPr="002A63BA">
        <w:t>INTRODUCTION</w:t>
      </w:r>
    </w:p>
    <w:p w14:paraId="12011362"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During the past years, many authors have recognised that the internal business process initiatives are not aligned with the external, customer’s needs. Within the local government perspective, customers are mostly identified as citizens (and businesses). The objective and biggest challenge of the urban development of local governments is to provide efficient and cost-effective service to citizens and businesses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{"citationItems":[{"id":"ITEM-1","itemData":{"author":[{"dropping-particle":"","family":"City of Zagreb","given":"","non-dropping-particle":"","parse-names":false,"suffix":""}],"container-title":"SmartImpact: City of Zagreb IAP","id":"ITEM-1","issue":"May","issued":{"date-parts":[["2018"]]},"title":"Integrated Action Plan City of Zagreb","type":"article-journal"},"uris":["http://www.mendeley.com/documents/?uuid=1d8f63ad-6446-43a5-ba67-45bbfddb64d6"]}],"mendeley":{"formattedCitation":"(City of Zagreb, 2018)","plainTextFormattedCitation":"(City of Zagreb, 2018)","previouslyFormattedCitation":"(City of Zagreb, 2018)"},"properties":{"noteIndex":0},"schema":"https://github.com/citation-style-language/schema/raw/master/csl-citation.json"}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(City of Zagreb, 2018)</w:t>
      </w:r>
      <w:r w:rsidRPr="002A63BA">
        <w:rPr>
          <w:rFonts w:ascii="Open Sans" w:hAnsi="Open Sans" w:cs="Open Sans"/>
          <w:color w:val="000000" w:themeColor="text1"/>
        </w:rPr>
        <w:fldChar w:fldCharType="end"/>
      </w:r>
      <w:r w:rsidRPr="002A63BA">
        <w:rPr>
          <w:rFonts w:ascii="Open Sans" w:hAnsi="Open Sans" w:cs="Open Sans"/>
          <w:color w:val="000000" w:themeColor="text1"/>
        </w:rPr>
        <w:t>. They are under the immense pressure to conduct reforms and transition to smart cities.</w:t>
      </w:r>
    </w:p>
    <w:p w14:paraId="4E514C1A"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Even though citizens were supposed to be in the focus of any local-government-related improvement initiative, quite frequently this is not the case. In the context of business and IT transformations that also encompass transitioning to smart city services, local governments, just like any other organizations, are focused primarily on their own internal organization – which mainly implies conducting initiatives such as process cost or time reduction through the optimization of processes and organizational units. </w:t>
      </w:r>
    </w:p>
    <w:p w14:paraId="1FE14F73"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This chapter defines critical concepts such as Business Process Management (BPM) which includes identification, discovery, analysis, redesign, implementation and control, as well as Customer eXperience Management (CXM), which in the context of local governments and smart cities includes analysis of the experiential world of the citizen, design of brand experience, structuring the citizen interface, and continuous innovation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9783642331435","author":[{"dropping-particle":"","family":"Dumas","given":"Marlon","non-dropping-particle":"","parse-names":false,"suffix":""},{"dropping-particle":"","family":"Rosa","given":"Marcello","non-dropping-particle":"La","parse-names":false,"suffix":""},{"dropping-particle":"","family":"Mendling","given":"Jan","non-dropping-particle":"","parse-names":false,"suffix":""},{"dropping-particle":"","family":"Reijers","given":"Hajo A.","non-dropping-particle":"","parse-names":false,"suffix":""}],"id":"ITEM-1","issued":{"date-parts":[["2018"]]},"number-of-pages":"399","publisher":"Springer-Verlag Berlin Heidelberg","publisher-place":"Berlin","title":"Fundamentals of business process management","type":"book"},"uris":["http://www.mendeley.com/documents/?uuid=241a7486-9f2f-494e-9cbd-577ad801f1ac"]},{"id":"ITEM-2","itemData":{"author":[{"dropping-particle":"","family":"Schmitt","given":"Bernd H","non-dropping-particle":"","parse-names":false,"suffix":""}],"id":"ITEM-2","issued":{"date-parts":[["2003"]]},"publisher":"John Wiley &amp; Sons, Inc.","publisher-place":"New Jersey","title":"Customer experience management: A revolutionary approach to connecting with your customers","type":"book"},"uris":["http://www.mendeley.com/documents/?uuid=cf460a46-f6ef-48d6-9396-ae8a39dd3c7a"]}],"mendeley":{"formattedCitation":"(Schmitt, 2003; Dumas &lt;i&gt;et al.&lt;/i&gt;, 2018)","plainTextFormattedCitation":"(Schmitt, 2003; Dumas et al., 2018)","previouslyFormattedCitation":"(Schmitt, 2003; Dumas &lt;i&gt;et al.&lt;/i&gt;, 2018)"},"properties":{"noteIndex":0},"schema":"https://github.com/citation-style-language/schema/raw/master/csl-citation.json"}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 xml:space="preserve">(Schmitt, 2003; Dumas </w:t>
      </w:r>
      <w:r w:rsidRPr="002A63BA">
        <w:rPr>
          <w:rFonts w:ascii="Open Sans" w:hAnsi="Open Sans" w:cs="Open Sans"/>
          <w:i/>
          <w:noProof/>
          <w:color w:val="000000" w:themeColor="text1"/>
        </w:rPr>
        <w:t>et al.</w:t>
      </w:r>
      <w:r w:rsidRPr="002A63BA">
        <w:rPr>
          <w:rFonts w:ascii="Open Sans" w:hAnsi="Open Sans" w:cs="Open Sans"/>
          <w:noProof/>
          <w:color w:val="000000" w:themeColor="text1"/>
        </w:rPr>
        <w:t>, 2018)</w:t>
      </w:r>
      <w:r w:rsidRPr="002A63BA">
        <w:rPr>
          <w:rFonts w:ascii="Open Sans" w:hAnsi="Open Sans" w:cs="Open Sans"/>
          <w:color w:val="000000" w:themeColor="text1"/>
        </w:rPr>
        <w:fldChar w:fldCharType="end"/>
      </w:r>
      <w:r w:rsidRPr="002A63BA">
        <w:rPr>
          <w:rFonts w:ascii="Open Sans" w:hAnsi="Open Sans" w:cs="Open Sans"/>
          <w:color w:val="000000" w:themeColor="text1"/>
        </w:rPr>
        <w:t>. While in their traditional form these two concepts remain at a distance, today more than ever it becomes relevant to study their touchpoints and reveal opportunities for making current services of the city “smart” enough to cope with the latest technological trends recognized globally.</w:t>
      </w:r>
    </w:p>
    <w:p w14:paraId="21B1A5A1" w14:textId="77777777" w:rsidR="00AE101A" w:rsidRPr="002A63BA" w:rsidRDefault="00AE101A" w:rsidP="00FF3EE4">
      <w:pPr>
        <w:spacing w:after="240" w:line="276" w:lineRule="auto"/>
        <w:textAlignment w:val="baseline"/>
        <w:rPr>
          <w:rFonts w:ascii="Open Sans" w:eastAsia="Times New Roman" w:hAnsi="Open Sans" w:cs="Open Sans"/>
          <w:color w:val="000000" w:themeColor="text1"/>
          <w:bdr w:val="none" w:sz="0" w:space="0" w:color="auto" w:frame="1"/>
          <w:lang w:eastAsia="en-GB"/>
        </w:rPr>
      </w:pPr>
      <w:r w:rsidRPr="002A63BA">
        <w:rPr>
          <w:rFonts w:ascii="Open Sans" w:hAnsi="Open Sans" w:cs="Open Sans"/>
          <w:color w:val="000000" w:themeColor="text1"/>
        </w:rPr>
        <w:lastRenderedPageBreak/>
        <w:t xml:space="preserve">For several decades, business process management has been around as one of the key approaches to optimize the performance of the organizations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9783642331435","author":[{"dropping-particle":"","family":"Dumas","given":"Marlon","non-dropping-particle":"","parse-names":false,"suffix":""},{"dropping-particle":"","family":"Rosa","given":"Marcello","non-dropping-particle":"La","parse-names":false,"suffix":""},{"dropping-particle":"","family":"Mendling","given":"Jan","non-dropping-particle":"","parse-names":false,"suffix":""},{"dropping-particle":"","family":"Reijers","given":"Hajo A.","non-dropping-particle":"","parse-names":false,"suffix":""}],"id":"ITEM-1","issued":{"date-parts":[["2018"]]},"number-of-pages":"399","publisher":"Springer-Verlag Berlin Heidelberg","publisher-place":"Berlin","title":"Fundamentals of business process management","type":"book"},"uris":["http://www.mendeley.com/documents/?uuid=241a7486-9f2f-494e-9cbd-577ad801f1ac"]}],"mendeley":{"formattedCitation":"(Dumas &lt;i&gt;et al.&lt;/i&gt;, 2018)","plainTextFormattedCitation":"(Dumas et al., 2018)","previouslyFormattedCitation":"(Dumas &lt;i&gt;et al.&lt;/i&gt;, 2018)"},"properties":{"noteIndex":0},"schema":"https://github.com/citation-style-language/schema/raw/master/csl-citation.json"}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(Dumas et al., 2018)</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At the same time, customer experience management has been widely adopted in order to have a positive effect on the analysis and the optimization of the experience of the customers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{"citationItems":[{"id":"ITEM-1","itemData":{"author":[{"dropping-particle":"","family":"Schmitt","given":"Bernd H","non-dropping-particle":"","parse-names":false,"suffix":""}],"id":"ITEM-1","issued":{"date-parts":[["2003"]]},"publisher":"John Wiley &amp; Sons, Inc.","publisher-place":"New Jersey","title":"Customer experience management: A revolutionary approach to connecting with your customers","type":"book"},"uris":["http://www.mendeley.com/documents/?uuid=cf460a46-f6ef-48d6-9396-ae8a39dd3c7a"]}],"mendeley":{"formattedCitation":"(Schmitt, 2003)","plainTextFormattedCitation":"(Schmitt, 2003)","previouslyFormattedCitation":"(Schmitt, 2003)"},"properties":{"noteIndex":0},"schema":"https://github.com/citation-style-language/schema/raw/master/csl-citation.json"}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(Schmitt, 2003)</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BPM enables capturing, analysis and redesign of internal processes in order to transition to an intelligent or smart city. </w:t>
      </w:r>
      <w:r w:rsidRPr="002A63BA">
        <w:rPr>
          <w:rFonts w:ascii="Open Sans" w:eastAsia="Times New Roman" w:hAnsi="Open Sans" w:cs="Open Sans"/>
          <w:color w:val="000000" w:themeColor="text1"/>
          <w:bdr w:val="none" w:sz="0" w:space="0" w:color="auto" w:frame="1"/>
          <w:lang w:eastAsia="en-GB"/>
        </w:rPr>
        <w:t xml:space="preserve">Establishing and maintaining the repository of internal processes was recognized as one of the first steps of creating smart cities </w:t>
      </w:r>
      <w:r w:rsidRPr="002A63BA">
        <w:rPr>
          <w:rFonts w:ascii="Open Sans" w:eastAsia="Times New Roman" w:hAnsi="Open Sans" w:cs="Open Sans"/>
          <w:color w:val="000000" w:themeColor="text1"/>
          <w:bdr w:val="none" w:sz="0" w:space="0" w:color="auto" w:frame="1"/>
          <w:lang w:eastAsia="en-GB"/>
        </w:rPr>
        <w:fldChar w:fldCharType="begin" w:fldLock="1"/>
      </w:r>
      <w:r w:rsidRPr="002A63BA">
        <w:rPr>
          <w:rFonts w:ascii="Open Sans" w:eastAsia="Times New Roman" w:hAnsi="Open Sans" w:cs="Open Sans"/>
          <w:color w:val="000000" w:themeColor="text1"/>
          <w:bdr w:val="none" w:sz="0" w:space="0" w:color="auto" w:frame="1"/>
          <w:lang w:eastAsia="en-GB"/>
        </w:rPr>
        <w:instrText>ADDIN CSL_CITATION {"citationItems":[{"id":"ITEM-1","itemData":{"author":[{"dropping-particle":"","family":"Vidovic","given":"Slavko","non-dropping-particle":"","parse-names":false,"suffix":""}],"container-title":"DaNTe Conference","id":"ITEM-1","issued":{"date-parts":[["2015"]]},"title":"Smart City: From strategic planning to intelligent applications and agile systems","type":"paper-conference"},"uris":["http://www.mendeley.com/documents/?uuid=e187abd7-c90d-4a4e-9aea-9bfc5e209531"]}],"mendeley":{"formattedCitation":"(Vidovic, 2015)","plainTextFormattedCitation":"(Vidovic, 2015)","previouslyFormattedCitation":"(Vidovic, 2015)"},"properties":{"noteIndex":0},"schema":"https://github.com/citation-style-language/schema/raw/master/csl-citation.json"}</w:instrText>
      </w:r>
      <w:r w:rsidRPr="002A63BA">
        <w:rPr>
          <w:rFonts w:ascii="Open Sans" w:eastAsia="Times New Roman" w:hAnsi="Open Sans" w:cs="Open Sans"/>
          <w:color w:val="000000" w:themeColor="text1"/>
          <w:bdr w:val="none" w:sz="0" w:space="0" w:color="auto" w:frame="1"/>
          <w:lang w:eastAsia="en-GB"/>
        </w:rPr>
        <w:fldChar w:fldCharType="separate"/>
      </w:r>
      <w:r w:rsidRPr="002A63BA">
        <w:rPr>
          <w:rFonts w:ascii="Open Sans" w:eastAsia="Times New Roman" w:hAnsi="Open Sans" w:cs="Open Sans"/>
          <w:noProof/>
          <w:color w:val="000000" w:themeColor="text1"/>
          <w:bdr w:val="none" w:sz="0" w:space="0" w:color="auto" w:frame="1"/>
          <w:lang w:eastAsia="en-GB"/>
        </w:rPr>
        <w:t>(Vidovic, 2015)</w:t>
      </w:r>
      <w:r w:rsidRPr="002A63BA">
        <w:rPr>
          <w:rFonts w:ascii="Open Sans" w:eastAsia="Times New Roman" w:hAnsi="Open Sans" w:cs="Open Sans"/>
          <w:color w:val="000000" w:themeColor="text1"/>
          <w:bdr w:val="none" w:sz="0" w:space="0" w:color="auto" w:frame="1"/>
          <w:lang w:eastAsia="en-GB"/>
        </w:rPr>
        <w:fldChar w:fldCharType="end"/>
      </w:r>
      <w:r w:rsidRPr="002A63BA">
        <w:rPr>
          <w:rFonts w:ascii="Open Sans" w:eastAsia="Times New Roman" w:hAnsi="Open Sans" w:cs="Open Sans"/>
          <w:color w:val="000000" w:themeColor="text1"/>
          <w:bdr w:val="none" w:sz="0" w:space="0" w:color="auto" w:frame="1"/>
          <w:lang w:eastAsia="en-GB"/>
        </w:rPr>
        <w:t xml:space="preserve">. </w:t>
      </w:r>
    </w:p>
    <w:p w14:paraId="372BC377"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According to Jeet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{"citationItems":[{"id":"ITEM-1","itemData":{"author":[{"dropping-particle":"","family":"Jeet","given":"Virender","non-dropping-particle":"","parse-names":false,"suffix":""}],"id":"ITEM-1","issued":{"date-parts":[["2017"]]},"publisher":"DQINDIA ONLINE","title":"Convergence of IoT and BPM for Smarter Cities","type":"article"},"suppress-author":1,"uris":["http://www.mendeley.com/documents/?uuid=7971f784-76e7-4314-b869-f04327a1cc1b"]}],"mendeley":{"formattedCitation":"(2017)","plainTextFormattedCitation":"(2017)","previouslyFormattedCitation":"(2017)"},"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(2017)</w:t>
      </w:r>
      <w:r w:rsidRPr="002A63BA">
        <w:rPr>
          <w:rFonts w:ascii="Open Sans" w:hAnsi="Open Sans" w:cs="Open Sans"/>
          <w:color w:val="000000" w:themeColor="text1"/>
        </w:rPr>
        <w:fldChar w:fldCharType="end"/>
      </w:r>
      <w:r w:rsidRPr="002A63BA">
        <w:rPr>
          <w:rFonts w:ascii="Open Sans" w:hAnsi="Open Sans" w:cs="Open Sans"/>
          <w:color w:val="000000" w:themeColor="text1"/>
        </w:rPr>
        <w:t>, BPM helps build smarter cities by enabling:</w:t>
      </w:r>
    </w:p>
    <w:p w14:paraId="24F68BFE" w14:textId="77777777" w:rsidR="00AE101A" w:rsidRPr="002A63BA" w:rsidRDefault="00AE101A" w:rsidP="00FF3EE4">
      <w:pPr>
        <w:numPr>
          <w:ilvl w:val="0"/>
          <w:numId w:val="9"/>
        </w:numPr>
        <w:spacing w:after="0" w:line="276" w:lineRule="auto"/>
        <w:ind w:left="1320"/>
        <w:textAlignment w:val="baseline"/>
        <w:rPr>
          <w:rFonts w:ascii="Open Sans" w:eastAsia="Times New Roman" w:hAnsi="Open Sans" w:cs="Open Sans"/>
          <w:color w:val="000000" w:themeColor="text1"/>
          <w:lang w:eastAsia="en-GB"/>
        </w:rPr>
      </w:pPr>
      <w:r w:rsidRPr="002A63BA">
        <w:rPr>
          <w:rFonts w:ascii="Open Sans" w:eastAsia="Times New Roman" w:hAnsi="Open Sans" w:cs="Open Sans"/>
          <w:color w:val="000000" w:themeColor="text1"/>
          <w:bdr w:val="none" w:sz="0" w:space="0" w:color="auto" w:frame="1"/>
          <w:lang w:eastAsia="en-GB"/>
        </w:rPr>
        <w:t>Enhanced e-Governance</w:t>
      </w:r>
    </w:p>
    <w:p w14:paraId="216547FF" w14:textId="77777777" w:rsidR="00AE101A" w:rsidRPr="002A63BA" w:rsidRDefault="00AE101A" w:rsidP="00FF3EE4">
      <w:pPr>
        <w:numPr>
          <w:ilvl w:val="0"/>
          <w:numId w:val="9"/>
        </w:numPr>
        <w:spacing w:after="0" w:line="276" w:lineRule="auto"/>
        <w:ind w:left="1320"/>
        <w:textAlignment w:val="baseline"/>
        <w:rPr>
          <w:rFonts w:ascii="Open Sans" w:eastAsia="Times New Roman" w:hAnsi="Open Sans" w:cs="Open Sans"/>
          <w:color w:val="000000" w:themeColor="text1"/>
          <w:lang w:eastAsia="en-GB"/>
        </w:rPr>
      </w:pPr>
      <w:r w:rsidRPr="002A63BA">
        <w:rPr>
          <w:rFonts w:ascii="Open Sans" w:eastAsia="Times New Roman" w:hAnsi="Open Sans" w:cs="Open Sans"/>
          <w:color w:val="000000" w:themeColor="text1"/>
          <w:bdr w:val="none" w:sz="0" w:space="0" w:color="auto" w:frame="1"/>
          <w:lang w:eastAsia="en-GB"/>
        </w:rPr>
        <w:t>Breaking the silos</w:t>
      </w:r>
    </w:p>
    <w:p w14:paraId="4587C85E" w14:textId="77777777" w:rsidR="00AE101A" w:rsidRPr="002A63BA" w:rsidRDefault="00AE101A" w:rsidP="00FF3EE4">
      <w:pPr>
        <w:numPr>
          <w:ilvl w:val="0"/>
          <w:numId w:val="9"/>
        </w:numPr>
        <w:spacing w:after="0" w:line="276" w:lineRule="auto"/>
        <w:ind w:left="1320"/>
        <w:textAlignment w:val="baseline"/>
        <w:rPr>
          <w:rFonts w:ascii="Open Sans" w:eastAsia="Times New Roman" w:hAnsi="Open Sans" w:cs="Open Sans"/>
          <w:color w:val="000000" w:themeColor="text1"/>
          <w:lang w:eastAsia="en-GB"/>
        </w:rPr>
      </w:pPr>
      <w:r w:rsidRPr="002A63BA">
        <w:rPr>
          <w:rFonts w:ascii="Open Sans" w:eastAsia="Times New Roman" w:hAnsi="Open Sans" w:cs="Open Sans"/>
          <w:color w:val="000000" w:themeColor="text1"/>
          <w:bdr w:val="none" w:sz="0" w:space="0" w:color="auto" w:frame="1"/>
          <w:lang w:eastAsia="en-GB"/>
        </w:rPr>
        <w:t>Real-time Processing</w:t>
      </w:r>
    </w:p>
    <w:p w14:paraId="051EA9F9" w14:textId="77777777" w:rsidR="00AE101A" w:rsidRPr="002A63BA" w:rsidRDefault="00AE101A" w:rsidP="00FF3EE4">
      <w:pPr>
        <w:numPr>
          <w:ilvl w:val="0"/>
          <w:numId w:val="9"/>
        </w:numPr>
        <w:spacing w:line="276" w:lineRule="auto"/>
        <w:ind w:left="1320"/>
        <w:textAlignment w:val="baseline"/>
        <w:rPr>
          <w:rFonts w:ascii="Open Sans" w:eastAsia="Times New Roman" w:hAnsi="Open Sans" w:cs="Open Sans"/>
          <w:color w:val="000000" w:themeColor="text1"/>
          <w:lang w:eastAsia="en-GB"/>
        </w:rPr>
      </w:pPr>
      <w:r w:rsidRPr="002A63BA">
        <w:rPr>
          <w:rFonts w:ascii="Open Sans" w:eastAsia="Times New Roman" w:hAnsi="Open Sans" w:cs="Open Sans"/>
          <w:color w:val="000000" w:themeColor="text1"/>
          <w:bdr w:val="none" w:sz="0" w:space="0" w:color="auto" w:frame="1"/>
          <w:lang w:eastAsia="en-GB"/>
        </w:rPr>
        <w:t>Rapid adapting to change</w:t>
      </w:r>
    </w:p>
    <w:p w14:paraId="046B778C"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One of the examples of the application of BPM methods and tools, among others within the context of citizen enablement, is the City of Zagreb, where multiple projects were done in the course of the last decade, and it was recognised as the best practice within organizational development domain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{"citationItems":[{"id":"ITEM-1","itemData":{"author":[{"dropping-particle":"","family":"City of Zagreb","given":"","non-dropping-particle":"","parse-names":false,"suffix":""}],"container-title":"SmartImpact: City of Zagreb IAP","id":"ITEM-1","issue":"May","issued":{"date-parts":[["2018"]]},"title":"Integrated Action Plan City of Zagreb","type":"article-journal"},"uris":["http://www.mendeley.com/documents/?uuid=1d8f63ad-6446-43a5-ba67-45bbfddb64d6"]}],"mendeley":{"formattedCitation":"(City of Zagreb, 2018)","plainTextFormattedCitation":"(City of Zagreb, 2018)","previouslyFormattedCitation":"(City of Zagreb, 2018)"},"properties":{"noteIndex":0},"schema":"https://github.com/citation-style-language/schema/raw/master/csl-citation.json"}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(City of Zagreb, 2018)</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Nevertheless, this example be related to the </w:t>
      </w:r>
      <w:r w:rsidRPr="002A63BA">
        <w:rPr>
          <w:rFonts w:ascii="Open Sans" w:hAnsi="Open Sans" w:cs="Open Sans"/>
          <w:i/>
          <w:iCs/>
          <w:color w:val="000000" w:themeColor="text1"/>
        </w:rPr>
        <w:t>Open process innovation concept</w:t>
      </w:r>
      <w:r w:rsidRPr="002A63BA">
        <w:rPr>
          <w:rFonts w:ascii="Open Sans" w:hAnsi="Open Sans" w:cs="Open Sans"/>
          <w:color w:val="000000" w:themeColor="text1"/>
        </w:rPr>
        <w:t xml:space="preserve">, which is identified as an involvement of citizens (and businesses accordingly) within the business process management initiatives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{"citationItems":[{"id":"ITEM-1","itemData":{"DOI":"10.1007/978-3-642-03516-6_21","ISBN":"3642035159","ISSN":"03029743","abstract":"'Open Innovation' has been heavily discussed for product innovations; however, an information systems (IS) perspective on 'process innovation' has not yet been taken. Analyzing the example of the public sector in Germany, the paper seeks to investigate the factors that hinder and support 'open process innovation', a concept we define as the involvement of citizens in business process management (BPM) activities. With the help of a quantitative study (n=358), six factors are examined for their impact on citizen involvement in local government BPM initiatives. The results show that citizen involvement in reform processes is not primarily motivated by the aim of cost reduction, but rather related to legitimacy reasons and the intent to increase employee motivation. Based on these findings, implications for (design) theory and practice are discussed: Instead of detailed collaborative business processes modeling, the key of citizen involvement in public sector BPM lies in communication and mutual understanding. © 2009 Springer Berlin Heidelberg.","author":[{"dropping-particle":"","family":"Niehaves","given":"Björn","non-dropping-particle":"","parse-names":false,"suffix":""},{"dropping-particle":"","family":"Malsch","given":"Robert","non-dropping-particle":"","parse-names":false,"suffix":""}],"container-title":"Lecture Notes in Computer Science (including subseries Lecture Notes in Artificial Intelligence and Lecture Notes in Bioinformatics)","id":"ITEM-1","issued":{"date-parts":[["2009"]]},"page":"245-256","title":"Democratizing process innovation? on citizen involvement in public sector BPM","type":"article-journal","volume":"5693 LNCS"},"uris":["http://www.mendeley.com/documents/?uuid=8e31f75c-de7a-4af5-8c9c-99e8d2c77b8f"]}],"mendeley":{"formattedCitation":"(Niehaves and Malsch, 2009)","plainTextFormattedCitation":"(Niehaves and Malsch, 2009)","previouslyFormattedCitation":"(Niehaves and Malsch, 2009)"},"properties":{"noteIndex":0},"schema":"https://github.com/citation-style-language/schema/raw/master/csl-citation.json"}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(Niehaves and Malsch, 2009)</w:t>
      </w:r>
      <w:r w:rsidRPr="002A63BA">
        <w:rPr>
          <w:rFonts w:ascii="Open Sans" w:hAnsi="Open Sans" w:cs="Open Sans"/>
          <w:color w:val="000000" w:themeColor="text1"/>
        </w:rPr>
        <w:fldChar w:fldCharType="end"/>
      </w:r>
      <w:r w:rsidRPr="002A63BA">
        <w:rPr>
          <w:rFonts w:ascii="Open Sans" w:hAnsi="Open Sans" w:cs="Open Sans"/>
          <w:color w:val="000000" w:themeColor="text1"/>
        </w:rPr>
        <w:t>.</w:t>
      </w:r>
    </w:p>
    <w:p w14:paraId="29D5F147" w14:textId="77777777" w:rsidR="00AE101A" w:rsidRPr="002A63BA" w:rsidRDefault="00AE101A" w:rsidP="00FF3EE4">
      <w:pPr>
        <w:pStyle w:val="N1"/>
        <w:rPr>
          <w:rFonts w:eastAsia="Times New Roman"/>
          <w:lang w:eastAsia="en-GB"/>
        </w:rPr>
      </w:pPr>
      <w:r w:rsidRPr="002A63BA">
        <w:t xml:space="preserve">CONVERGENT MODELLING OF THE INTERNAL </w:t>
      </w:r>
      <w:r w:rsidRPr="002A63BA">
        <w:rPr>
          <w:rFonts w:eastAsia="Times New Roman"/>
          <w:lang w:eastAsia="en-GB"/>
        </w:rPr>
        <w:t>ORGANIZATION AND EXTERNAL CUSTOMER JOURNEYS IN SMART CITIES</w:t>
      </w:r>
    </w:p>
    <w:p w14:paraId="0F960C35" w14:textId="77777777" w:rsidR="00AE101A" w:rsidRPr="002A63BA" w:rsidRDefault="00AE101A" w:rsidP="00FF3EE4">
      <w:pPr>
        <w:spacing w:after="240" w:line="276" w:lineRule="auto"/>
        <w:rPr>
          <w:rFonts w:ascii="Open Sans" w:eastAsia="Times New Roman" w:hAnsi="Open Sans" w:cs="Open Sans"/>
          <w:color w:val="000000" w:themeColor="text1"/>
          <w:lang w:eastAsia="en-GB"/>
        </w:rPr>
      </w:pPr>
      <w:r w:rsidRPr="002A63BA">
        <w:rPr>
          <w:rFonts w:ascii="Open Sans" w:eastAsia="Times New Roman" w:hAnsi="Open Sans" w:cs="Open Sans"/>
          <w:color w:val="000000" w:themeColor="text1"/>
          <w:lang w:eastAsia="en-GB"/>
        </w:rPr>
        <w:t xml:space="preserve">While the current approaches mostly considered modelling of organizational processes from the internal perspective, business process management and customer experience management convergent approach (BPM-CXM) was developed which considers both the internal and external (customer’s, user’s, citizen’s) perspective </w:t>
      </w:r>
      <w:r w:rsidRPr="002A63BA">
        <w:rPr>
          <w:rFonts w:ascii="Open Sans" w:eastAsia="Times New Roman" w:hAnsi="Open Sans" w:cs="Open Sans"/>
          <w:color w:val="000000" w:themeColor="text1"/>
          <w:lang w:eastAsia="en-GB"/>
        </w:rPr>
        <w:fldChar w:fldCharType="begin" w:fldLock="1"/>
      </w:r>
      <w:r w:rsidRPr="002A63BA">
        <w:rPr>
          <w:rFonts w:ascii="Open Sans" w:eastAsia="Times New Roman" w:hAnsi="Open Sans" w:cs="Open Sans"/>
          <w:color w:val="000000" w:themeColor="text1"/>
          <w:lang w:eastAsia="en-GB"/>
        </w:rPr>
        <w:instrText>ADDIN CSL_CITATION {"citationItems":[{"id":"ITEM-1","itemData":{"DOI":"10.1007/978-3-030-35151-9_10","ISBN":"9783030351502","ISSN":"18651356","abstract":"© IFIP International Federation for Information Processing 2019. Both in theory and practice, a lack of a formulated structure to facilitate integrated modeling and analysis of internal business processes and customer experiences external to the organization has been identified by many authors. Tackling this issue, a convergent approach aligning Business Process Management (BPM) and Customer eXperience Management (CXM) initiatives, is proposed in the paper, along with a full set of top-down BPM-CXM models varying in the level of detail. To validate the proposed models, a focus group study with experts in BPM and CXM domains was organized, and the findings are reported and further operationalized using a tool widely used in the EMEA region.","author":[{"dropping-particle":"","family":"Pavlic","given":"Dino","non-dropping-particle":"","parse-names":false,"suffix":""},{"dropping-particle":"","family":"Cukusic","given":"Maja","non-dropping-particle":"","parse-names":false,"suffix":""}],"container-title":"Lecture Notes in Business Information Processing","id":"ITEM-1","issued":{"date-parts":[["2019"]]},"title":"Developing a structured approach to converging business process management and customer experience management initiatives","type":"book","volume":"369"},"uris":["http://www.mendeley.com/documents/?uuid=383a055a-14da-3892-ab72-207918c93c25"]},{"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id":"ITEM-3","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A","non-dropping-particle":"","parse-names":false,"suffix":""}],"id":"ITEM-3","issued":{"date-parts":[["2019"]]},"publisher":"Springer Nature Switzerland AG","title":"Developing a Structured Approach to Converging Business Process Management and Customer Experience Management Initiatives","type":"chapter"},"uris":["http://www.mendeley.com/documents/?uuid=e682cb6d-3805-4dda-a8de-3496cb43d06f"]}],"mendeley":{"formattedCitation":"(Pavlic and Cukusic, 2019a, 2019b; Pavlic, 2021)","manualFormatting":"(Pavlic and Cukusic, 2019b; Pavlic, 2021)","plainTextFormattedCitation":"(Pavlic and Cukusic, 2019a, 2019b; Pavlic, 2021)","previouslyFormattedCitation":"(Pavlic and Cukusic, 2019a, 2019b; Pavlic, 2021)"},"properties":{"noteIndex":0},"schema":"https://github.com/citation-style-language/schema/raw/master/csl-citation.json"}</w:instrText>
      </w:r>
      <w:r w:rsidRPr="002A63BA">
        <w:rPr>
          <w:rFonts w:ascii="Open Sans" w:eastAsia="Times New Roman" w:hAnsi="Open Sans" w:cs="Open Sans"/>
          <w:color w:val="000000" w:themeColor="text1"/>
          <w:lang w:eastAsia="en-GB"/>
        </w:rPr>
        <w:fldChar w:fldCharType="separate"/>
      </w:r>
      <w:r w:rsidRPr="002A63BA">
        <w:rPr>
          <w:rFonts w:ascii="Open Sans" w:eastAsia="Times New Roman" w:hAnsi="Open Sans" w:cs="Open Sans"/>
          <w:noProof/>
          <w:color w:val="000000" w:themeColor="text1"/>
          <w:lang w:eastAsia="en-GB"/>
        </w:rPr>
        <w:t xml:space="preserve">(Pavlic and Cukusic, </w:t>
      </w:r>
      <w:r w:rsidRPr="002A63BA">
        <w:rPr>
          <w:rFonts w:ascii="Open Sans" w:eastAsia="Times New Roman" w:hAnsi="Open Sans" w:cs="Open Sans"/>
          <w:noProof/>
          <w:color w:val="000000" w:themeColor="text1"/>
          <w:lang w:eastAsia="en-GB"/>
        </w:rPr>
        <w:lastRenderedPageBreak/>
        <w:t>2019b; Pavlic, 2021)</w:t>
      </w:r>
      <w:r w:rsidRPr="002A63BA">
        <w:rPr>
          <w:rFonts w:ascii="Open Sans" w:eastAsia="Times New Roman" w:hAnsi="Open Sans" w:cs="Open Sans"/>
          <w:color w:val="000000" w:themeColor="text1"/>
          <w:lang w:eastAsia="en-GB"/>
        </w:rPr>
        <w:fldChar w:fldCharType="end"/>
      </w:r>
      <w:r w:rsidRPr="002A63BA">
        <w:rPr>
          <w:rFonts w:ascii="Open Sans" w:eastAsia="Times New Roman" w:hAnsi="Open Sans" w:cs="Open Sans"/>
          <w:color w:val="000000" w:themeColor="text1"/>
          <w:lang w:eastAsia="en-GB"/>
        </w:rPr>
        <w:t>. Other than modelling and analysis of the internal processes, the approach elaborates on the parallel modelling and the analysis of customer journeys, with a specific focus on the analysis of the touchpoints with the customers (citizens). Other than the mentioned convergence approach, there are also a number of other authors who recognized the importance of including customer’s perspective within the internal transformation projects</w:t>
      </w:r>
      <w:r w:rsidRPr="002A63BA">
        <w:rPr>
          <w:rFonts w:ascii="Open Sans" w:hAnsi="Open Sans" w:cs="Open Sans"/>
          <w:color w:val="000000" w:themeColor="text1"/>
        </w:rPr>
        <w:t xml:space="preserve">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{"citationItems":[{"id":"ITEM-1","itemData":{"ISBN":"1463715111116","ISSN":"1463-7154","PMID":"42012058","abstract":"Purpose: In contemporary times process-oriented approaches in information management are elementary in meeting business challenges. However, most methods for business process management (BPM) focus on improved performance from only the company's perspective. They neglect the growing importance of value co-creation between company and customer that typically results from a service-dominant logic. Modern BPM methods need to focus on the internal performance of processes whilst including the customer's perspective. This paper aims to address these issues. Design/methodology/approach: By combining the market-oriented approach, service blueprinting, with the syntax of business process modeling, the authors introduce a method that visualizes and analyzes processes simultaneously from the company's and customer's point of view. Within this integrated approach, information management and marketing are linked. A used case illustrates implementation and benefits of this method. Findings: This paper addresses the gap between marketing and information management sciences. \"Business Process Blueprinting\" (BP&lt;UP&gt;2&lt;/UP&gt;) provides a conceptual foundation for a further integration of these two scopes of interest. Research limitations/implications: The integrated view on processes supports an enhanced understanding of process performance. In its current stage, the method reflects a basic combined approach - further development is needed. Well-established models and tools from controlling and marketing as well as from other fields can be integrated to open this analysis for service elements. Practical implications: Applying BP&lt;UP&gt;2&lt;/UP&gt; to practical process analysis promotes a better understanding of the customer's process perception. This potentially leads to a more efficient and effective process design. Originality/value: The paper introduces the missing method for the integration of the effectiveness-driven perspective into business process modeling. © Emerald Group Publishing Limited.","author":[{"dropping-particle":"","family":"Gersch","given":"Martin","non-dropping-particle":"","parse-names":false,"suffix":""},{"dropping-particle":"","family":"Hewing","given":"Michael","non-dropping-particle":"","parse-names":false,"suffix":""},{"dropping-particle":"","family":"Schöler","given":"Bernd","non-dropping-particle":"","parse-names":false,"suffix":""}],"container-title":"Business Process Management Journal","id":"ITEM-1","issue":"5","issued":{"date-parts":[["2011"]]},"page":"732-747","title":"Business Process Blueprinting – an enhanced view on process performance","type":"article-journal","volume":"17"},"uris":["http://www.mendeley.com/documents/?uuid=f01354ae-2f3d-42d8-bbf4-e9746e1bfc78"]},{"id":"ITEM-2","itemData":{"ISBN":"14637154","ISSN":"1463-7154","abstract":"Purpose – The purpose of this paper is to argue that in order to achieve customer centricity through business process management (BPM), companies have to obtain the profound understanding of customers’ processes and when necessary change not only the interactions with but also the processes of their customers. A method is presented that allows doing this in a systematic manner. Design/methodology/approach – A case study of a large multinational company was conducted. Several different sources and methods were used, including document analysis, interviews and a qualitative analysis of responses to open-ended questions. Data were gathered at three points in time: before, during and after the implementation of the presented approach. Findings – The method that was successfully employed by the case organisation consisted of combining BPM with service blueprinting, and of extending these efforts by integrating the customers’ internal processes into the scope of improvement. Research limitations/implications – The paper does not thoroughly evaluate the long-term effects of the proposed approach. Some results of the case study analysis had to be excluded from this paper due to reasons of confidentiality. Practical implications – The paper presents an approach for organisations to not only understand the needs of their customers but also the way in which their product is used in customers’ processes. In this way BPM can be implemented in a truly customer-oriented way. Originality/value – This paper extends previous work by presenting one way in which BPM can follow up on its promise of increasing an organisations customer orientation. While servitisation has received a lot of attention in various disciplines, its application within BPM research and practice has been scarce.","author":[{"dropping-particle":"","family":"Trkman","given":"Peter","non-dropping-particle":"","parse-names":false,"suffix":""},{"dropping-particle":"","family":"Mertens","given":"Willem","non-dropping-particle":"","parse-names":false,"suffix":""},{"dropping-particle":"","family":"Viaene","given":"Stijn","non-dropping-particle":"","parse-names":false,"suffix":""},{"dropping-particle":"","family":"Gemmel","given":"Paul","non-dropping-particle":"","parse-names":false,"suffix":""}],"container-title":"Business Process Management Journal","id":"ITEM-2","issue":"2","issued":{"date-parts":[["2015"]]},"page":"250-266","title":"From business process management to customer process management","type":"article-journal","volume":"21"},"uris":["http://www.mendeley.com/documents/?uuid=65507d82-43d2-44ae-a61e-e4c958c8bd67"]},{"id":"ITEM-3","itemData":{"ISBN":"14637154","ISSN":"1463-7154","PMID":"42012058","abstract":"Purpose - Recently, business process management (BPM) is among the most important managerial topics because it allows companies an agile adaptation to changing business requirements. Consultants and researchers are regularly proposing new methods and concepts based on BPM for further increasing the efficiency of corporate processes. However, from an empirical point of view it is crucial to determine the current status in practice and derive goals for research and technology transfer. This paper aims to address these issues. Design/methodology/approach - For this reason the survey \"Status Quto Business Process Management\" is carried out in Austria, Germany, and Switzerland on a yearly basis. This survey aims at identifying current trends and strategic plans of companies as well as its realization in practice and highlights the remaining steps towards the process (-focused) organization (PFO). The paper summarizes the results of the survey carried out in 2006 among 185 decision makers and shows a comparison with the results of the previous years as well as comparable surveys. Findings - This paper analyzes the current state of BPM in the market, analyzes the strategic, organizational and technical aspects of BPM in the participating companies. The survey shows that although the majority of the participating companies are involved with BPM initiatives, only a very small number of companies follows holistic approaches and has reached the status of a PFO. Research limitations/implications - As the survey especially focused on IT-driven companies a limitation of this survey could be seen in the fact that it does not exactly cover the branch distribution of the population, e.g. the financial sector is over-represented due to the fact that the survey included branch specific questions for the financial sector (note that these questions are not part of this paper). However, the comparison with the surveys \"BP Report\" and \"State of BPM\" shows that these surveys come with similar distributions of the branches. Practical implications - This paper provides a very useful source for companies in benchmarking their status regarding BPM. It provides them with information that allows to compare their status on the way towards a PFO with their competitors. Originality/value - This paper provides a very useful source for companies in benchmarking their status regarding BPM. The survey does not only investigate what is being done by the participating companies but also inte…","author":[{"dropping-particle":"","family":"Neubauer","given":"Thomas","non-dropping-particle":"","parse-names":false,"suffix":""}],"container-title":"Business Process Management Journal","id":"ITEM-3","issue":"2","issued":{"date-parts":[["2009"]]},"page":"166-183","title":"An empirical study about the status of business process management","type":"article-journal","volume":"15"},"uris":["http://www.mendeley.com/documents/?uuid=376e29a1-12e5-4b45-9555-a529350fe517"]},{"id":"ITEM-4","itemData":{"ISBN":"1097-0266","ISSN":"03787206","PMID":"31767271","abstract":"The purpose of Business Process Management (BPM) is to increase the efficiency and effectiveness of organizational processes through improvement and innovation. Despite a common understanding that culture is an important element in BPM efforts, there is a dearth of theoretical and empirical research on culture as a facilitator of successful BPM. We develop the BPM culture construct and propose a validated instrument with which to measure organizational cultures' support of BPM. The operationalization of the BPM culture concept provides a theoretical foundation for future research and a tool to assist organizations in developing a cultural environment that supports successful BPM. © 2013 Elsevier B.V.","author":[{"dropping-particle":"","family":"Schmiedel","given":"Theresa","non-dropping-particle":"","parse-names":false,"suffix":""},{"dropping-particle":"","family":"Brocke","given":"Jan","non-dropping-particle":"Vom","parse-names":false,"suffix":""},{"dropping-particle":"","family":"Recker","given":"Jan","non-dropping-particle":"","parse-names":false,"suffix":""}],"container-title":"Information and Management","id":"ITEM-4","issue":"1","issued":{"date-parts":[["2014"]]},"page":"43-56","title":"Development and validation of an instrument to measure organizational cultures' support of Business Process Management","type":"article-journal","volume":"51"},"uris":["http://www.mendeley.com/documents/?uuid=4ad427d6-451f-4fcb-a8b7-c5413cd15e36"]},{"id":"ITEM-5","itemData":{"ISSN":"0960-4529","abstract":"This paper attempts to respond to the call to help organisations systematically engineer their customer experiences. Its objective is to investigate how organisations actually go about designing and improving their customer experiences","author":[{"dropping-particle":"","family":"Johnston","given":"Robert","non-dropping-particle":"","parse-names":false,"suffix":""},{"dropping-particle":"","family":"Kong","given":"Xiangyu","non-dropping-particle":"","parse-names":false,"suffix":""}],"container-title":"Managing Service Quality","id":"ITEM-5","issue":"1","issued":{"date-parts":[["2011"]]},"page":"5-24","title":"The Customer Experience : A Road Map for Improvement","type":"article-journal","volume":"21"},"uris":["http://www.mendeley.com/documents/?uuid=584be9c0-bb40-4ea1-843c-c5baff281d8f"]},{"id":"ITEM-6","itemData":{"ISBN":"9781784716639","author":[{"dropping-particle":"","family":"Gloppen","given":"Judith","non-dropping-particle":"","parse-names":false,"suffix":""},{"dropping-particle":"","family":"Lindquister","given":"Berit","non-dropping-particle":"","parse-names":false,"suffix":""},{"dropping-particle":"","family":"Daae","given":"Hans- Peter","non-dropping-particle":"","parse-names":false,"suffix":""}],"chapter-number":"6.","container-title":"International Perspectives on Business Innovation and Disruption in Design","editor":[{"dropping-particle":"","family":"DeFillippi","given":"Robert","non-dropping-particle":"","parse-names":false,"suffix":""},{"dropping-particle":"","family":"Rieple","given":"Alison","non-dropping-particle":"","parse-names":false,"suffix":""},{"dropping-particle":"","family":"Wikström","given":"Patrik","non-dropping-particle":"","parse-names":false,"suffix":""}],"id":"ITEM-6","issued":{"date-parts":[["2016"]]},"page":"118-136","title":"The customer journey as a tool for business innovation and transformation","type":"chapter"},"uris":["http://www.mendeley.com/documents/?uuid=2e25c6b6-bec3-4188-b61f-a63bc1b72309"]},{"id":"ITEM-7","itemData":{"ISBN":"9783319039367","abstract":"The management discipline business process management (BPM) has come of age as a mature instrument for organisations to install a methodological approach for modelling, analysing, improving and streamlining processes. Yet, practitioners and academics feel that BPM has perhaps not lived up to the high expectations and still poses a lot of implementation challenges. Meanwhile we have arrived in a new transformational business era, characterized by digital innovations, economic turbulence, transforming businesses and extreme customer mobility. Are we ready to support our organisations with process thinking in this environment? In 14 interviews with practitioners and academics we have attempted to answer what BPM could look like in the near future, how different organisations apply it and which challenges remain to be solved.","author":[{"dropping-particle":"Van Den","family":"Bergh","given":"Joachim","non-dropping-particle":"","parse-names":false,"suffix":""},{"dropping-particle":"","family":"Thijs","given":"Sara","non-dropping-particle":"","parse-names":false,"suffix":""},{"dropping-particle":"","family":"Viaene","given":"Stijn","non-dropping-particle":"","parse-names":false,"suffix":""}],"id":"ITEM-7","issued":{"date-parts":[["2014"]]},"publisher":"Springer International Publishing","publisher-place":"London","title":"Transforming Through Processes Leading Voices on BPM, People and Technology","type":"book"},"uris":["http://www.mendeley.com/documents/?uuid=8083256d-b5ee-4381-b79d-9514cd01c62a"]},{"id":"ITEM-8","itemData":{"author":[{"dropping-particle":"","family":"Becker","given":"Jörg","non-dropping-particle":"","parse-names":false,"suffix":""},{"dropping-particle":"","family":"Niehaves","given":"Björn","non-dropping-particle":"","parse-names":false,"suffix":""},{"dropping-particle":"","family":"Malsbender","given":"Andrea","non-dropping-particle":"","parse-names":false,"suffix":""},{"dropping-particle":"","family":"Ortbach","given":"Kevin","non-dropping-particle":"","parse-names":false,"suffix":""},{"dropping-particle":"","family":"Plattfaut","given":"Ralf","non-dropping-particle":"","parse-names":false,"suffix":""},{"dropping-particle":"","family":"Pöppelbuß","given":"Jens","non-dropping-particle":"","parse-names":false,"suffix":""}],"container-title":"Proceedings of the 11th International RESER Conference","id":"ITEM-8","issued":{"date-parts":[["2011"]]},"page":"1-20","title":"Taking a BPM Lifecycle View on Service Productivity: Results from a Literature Analysis","type":"article-journal"},"uris":["http://www.mendeley.com/documents/?uuid=9206140c-d850-4c0c-9e41-56310564198e"]},{"id":"ITEM-9","itemData":{"ISBN":"1087857131131","ISSN":"1087-8572","abstract":"Purpose – The article describes how to strategically analyze and stage manage the customer journey – the sequence of events that customers go through to learn about, purchase and interact with company offerings.Design/methodology/approach – The article explains how to develop a customer journey that implements a coherent strategic plan. One that follows a scripted sequence of events companies produce to deliver value to the customer, profitability to the company and differentiation from the competition.Findings – The customer journey, when approached as a strategic design process, can provide all the elements of a business with a unifying organizational map.Research limitations/implications – The examples reported on in this article are drawn from the authors' consulting experience.Practical implications – Too often companies map a customer journey without any real participation from customers themselves. It's best to start by identifying jobs customers need to get done so that companies clarify what aspects of the journey are most important to the customer.Originality/value – Top executives should make their company's goal to align its business strategy and the experiences that create most value for customers. [ABSTRACT FROM AUTHOR] Copyright of Strategy &amp; Leadership is the property of Emerald Group Publishing Limited and its content may not be copied or emailed to multiple sites or posted to a listserv without the copyright holder's express written permission. However, users may print, download, or email articles for individual use. This abstract may be abridged. No warranty is given about the accuracy of the copy. Users should refer to the original published version of the material for the full abstract. (Copyright applies to all Abstracts.) TS - RIS","author":[{"dropping-particle":"","family":"Norton","given":"David W.","non-dropping-particle":"","parse-names":false,"suffix":""},{"dropping-particle":"","family":"Pine II","given":"B Joseph","non-dropping-particle":"","parse-names":false,"suffix":""}],"container-title":"Strategy &amp; Leadership","id":"ITEM-9","issue":"2","issued":{"date-parts":[["2013"]]},"page":"12-17","title":"Using the customer journey to road test and refine the business model","type":"article-journal","volume":"41"},"uris":["http://www.mendeley.com/documents/?uuid=84484c35-f108-4978-b456-c86ce15feffe"]},{"id":"ITEM-10","itemData":{"DOI":"10.7166/23-1-218","ISSN":"1012277X","abstract":"In 2010 Botha, Kruger &amp; De Vries [5] introduced a framework for enhancing customer experience through improved business processes. They developed the Enhanced Customer Experience Framework (ECEF) by integrating various well-known techniques into one comprehensive framework. The ECEF incorporates three well-known tools: quality function deployment (QFD), business process re-engineering, and simulation. QFD is used to determine the relationship beween business processes and customer requirements, and to prioritise business processes from a customer perspective. Business Process Re-engineering (BPR), together with the steps associated with benchmarking, provides a useful process that may be followed when re-engineering business processes to fit customer needs; while simulation modelling is used to test the impact of process improvements on customer experience. This paper aims partially to validate the ECEF against empirical data obtained from the telecommunications industry.","author":[{"dropping-particle":"","family":"Botha","given":"G. J.","non-dropping-particle":"","parse-names":false,"suffix":""},{"dropping-particle":"","family":"Kruger","given":"P. S.","non-dropping-particle":"","parse-names":false,"suffix":""},{"dropping-particle":"","family":"Vries","given":"M.","non-dropping-particle":"de","parse-names":false,"suffix":""}],"container-title":"South African Journal of Industrial Engineering","id":"ITEM-10","issue":"1","issued":{"date-parts":[["2012"]]},"page":"39-56","title":"Enhancing customer experience through business process improvement: An application of the enhanced customer experience framework (ECEF)","type":"article-journal","volume":"23"},"uris":["http://www.mendeley.com/documents/?uuid=5ecabf96-770f-4970-bef5-9d43df3f2437"]},{"id":"ITEM-11","itemData":{"abstract":"In these modern times it is more and more difficult to become and stay competitive in the business environment. Customers have increasingly more products to choose from and more channels through which they can satisfy their needs. In such an environment it is vital to ensure an exceptional customer experience, and to maintain this experience through delivering products and services according to customer needs. This can be achieved by developing a process improvement model that integrates traditional approaches to business process improvement with the concept of customer experience management.","author":[{"dropping-particle":"","family":"Botha","given":"G.J.","non-dropping-particle":"","parse-names":false,"suffix":""},{"dropping-particle":"van","family":"Rensburg","given":"A.C.","non-dropping-particle":"","parse-names":false,"suffix":""}],"container-title":"South African Journal of Industrial Engineering","id":"ITEM-11","issue":"1","issued":{"date-parts":[["2010"]]},"page":"45-57","title":"Proposed Business Process Improvement Model With Integrated Customer Experience Management","type":"article-journal","volume":"21"},"uris":["http://www.mendeley.com/documents/?uuid=8893fe14-b154-49dc-8ece-a34a8f5c8d98"]},{"id":"ITEM-12","itemData":{"ISBN":"1120150159","ISSN":"0520130049","author":[{"dropping-particle":"","family":"Bernardo","given":"Ronaldo","non-dropping-particle":"","parse-names":false,"suffix":""},{"dropping-particle":"","family":"Galvina","given":"Simone Vasconcelos Ribeiro","non-dropping-particle":"","parse-names":false,"suffix":""},{"dropping-particle":"","family":"Pádua","given":"Silvia Inês Dallavalle","non-dropping-particle":"de","parse-names":false,"suffix":""}],"container-title":"Business Process Management Journal","id":"ITEM-12","issue":"1","issued":{"date-parts":[["2017"]]},"page":"155-157","title":"The BPM lifecycle: How to incorporate a view external to the organization through dynamic capability","type":"article-journal","volume":"23"},"uris":["http://www.mendeley.com/documents/?uuid=b85d3390-9a2d-497e-b5f0-01c7a8c71503"]},{"id":"ITEM-13","itemData":{"DOI":"10.1108/BPMJ-06-2019-0257","ISSN":"14637154","abstract":"Purpose: Customer centricity has evolved into a success factor for many companies, requiring all corporate activities – including business processes – to be aligned with customer needs. With most existing approaches to business process (re-)design focusing on process efficiency, customers are often treated as second-class citizens. Despite emergent research on customer process management, there is a lack of guidance on how to design customer-centric business processes. Design/methodology/approach: The authors conducted a structured literature review and analyzed companies awarded for outstanding customer centricity to compile design heuristics for customer-centric business processes. The authors iteratively validated and refined these heuristics with experts from academia and industry. Finally, the heuristics was grouped according to their expected impact on interaction capabilities to enable their prioritization in specific settings. Findings: The authors proposed 15 expert-approved and literature-backed design heuristics for customer-centric business processes together with real-world examples. The heuristics aim at increasing customer satisfaction with interaction-intensive core processes, which is an important driver of corporate success. Originality/value: The design heuristics complement existing efficiency-centered (re-)design heuristics. They reflect cognitive shortcuts that support process analysts in the generation of innovative ideas during process (re-)design. The heuristics also add to customer process management and help put customer centricity into practice.","author":[{"dropping-particle":"","family":"Frank","given":"Lukas","non-dropping-particle":"","parse-names":false,"suffix":""},{"dropping-particle":"","family":"Poll","given":"Rouven","non-dropping-particle":"","parse-names":false,"suffix":""},{"dropping-particle":"","family":"Röglinger","given":"Maximilian","non-dropping-particle":"","parse-names":false,"suffix":""},{"dropping-particle":"","family":"Rupprecht","given":"Rupprecht","non-dropping-particle":"","parse-names":false,"suffix":""}],"container-title":"Business Process Management Journal","id":"ITEM-13","issue":"6","issued":{"date-parts":[["2020"]]},"page":"1283-1305","title":"Design heuristics for customer-centric business processes","type":"article-journal","volume":"26"},"uris":["http://www.mendeley.com/documents/?uuid=d3ba403f-3e8a-43bc-ae3f-577e61362e05"]}],"mendeley":{"formattedCitation":"(Neubauer, 2009; Botha and Rensburg, 2010; Becker &lt;i&gt;et al.&lt;/i&gt;, 2011; Gersch, Hewing and Schöler, 2011; Johnston and Kong, 2011; Botha, Kruger and de Vries, 2012; Norton and Pine II, 2013; Bergh, Thijs and Viaene, 2014; Schmiedel, Vom Brocke and Recker, 2014; Trkman &lt;i&gt;et al.&lt;/i&gt;, 2015; Gloppen, Lindquister and Daae, 2016; Bernardo, Galvina and de Pádua, 2017; Frank &lt;i&gt;et al.&lt;/i&gt;, 2020)","plainTextFormattedCitation":"(Neubauer, 2009; Botha and Rensburg, 2010; Becker et al., 2011; Gersch, Hewing and Schöler, 2011; Johnston and Kong, 2011; Botha, Kruger and de Vries, 2012; Norton and Pine II, 2013; Bergh, Thijs and Viaene, 2014; Schmiedel, Vom Brocke and Recker, 2014; Trkman et al., 2015; Gloppen, Lindquister and Daae, 2016; Bernardo, Galvina and de Pádua, 2017; Frank et al., 2020)","previouslyFormattedCitation":"(Neubauer, 2009; Botha and Rensburg, 2010; Becker &lt;i&gt;et al.&lt;/i&gt;, 2011; Gersch, Hewing and Schöler, 2011; Johnston and Kong, 2011; Botha, Kruger and de Vries, 2012; Norton and Pine II, 2013; Bergh, Thijs and Viaene, 2014; Schmiedel, Vom Brocke and Recker, 2014; Trkman &lt;i&gt;et al.&lt;/i&gt;, 2015; Gloppen, Lindquister and Daae, 2016; Bernardo, Galvina and de Pádua, 2017; Frank &lt;i&gt;et al.&lt;/i&gt;, 2020)"},"properties":{"noteIndex":0},"schema":"https://github.com/citation-style-language/schema/raw/master/csl-citation.json"}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 xml:space="preserve">(Neubauer, 2009; Botha and Rensburg, 2010; Becker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xml:space="preserve">, 2011; Gersch, Hewing and Schöler, 2011; Johnston and Kong, 2011; Botha, Kruger and de Vries, 2012; Norton and Pine II, 2013; Bergh, Thijs and Viaene, 2014; Schmiedel, Vom Brocke and Recker, 2014; Trkman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xml:space="preserve">, 2015; Gloppen, Lindquister and Daae, 2016; Bernardo, Galvina and de Pádua, 2017; Frank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2020)</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xml:space="preserve">. </w:t>
      </w:r>
    </w:p>
    <w:p w14:paraId="0A5F17D0" w14:textId="77777777" w:rsidR="00AE101A" w:rsidRPr="002A63BA" w:rsidRDefault="00AE101A" w:rsidP="00FF3EE4">
      <w:p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 xml:space="preserve">Without a clear connection between the internal processes of the local government and the external journeys of the citizens, it is not clear optimization of which internal process leads to the improvement of which journey, and vice versa. </w:t>
      </w:r>
      <w:r w:rsidRPr="002A63BA">
        <w:rPr>
          <w:rFonts w:ascii="Open Sans" w:hAnsi="Open Sans" w:cs="Open Sans"/>
          <w:color w:val="000000" w:themeColor="text1"/>
        </w:rPr>
        <w:t xml:space="preserve">Design, modelling, analysis and testing of the internal processes of the local governments should be performed in convergence with the design, modelling, analysis and testing of the citizen’s journeys (and the overall experiences)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{"citationItems":[{"id":"ITEM-1","itemData":{"author":[{"dropping-particle":"","family":"Davis","given":"Rob","non-dropping-particle":"","parse-names":false,"suffix":""}],"container-title":"A BPTrends Column","id":"ITEM-1","issued":{"date-parts":[["2011"]]},"page":"1-5","title":"It’s the Customer Journey That Counts","type":"article-journal"},"uris":["http://www.mendeley.com/documents/?uuid=dae5072c-7e2d-4349-9acd-bd795706587e"]}],"mendeley":{"formattedCitation":"(Davis, 2011)","plainTextFormattedCitation":"(Davis, 2011)","previouslyFormattedCitation":"(Davis, 2011)"},"properties":{"noteIndex":0},"schema":"https://github.com/citation-style-language/schema/raw/master/csl-citation.json"}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(Davis, 2011)</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That way, the prerequisites for setting up smart services would be met by providing the as-is transparency and a polygon for the to-be redesign within the 4 crucial segments:</w:t>
      </w:r>
    </w:p>
    <w:p w14:paraId="7D212FC5" w14:textId="77777777" w:rsidR="00AE101A" w:rsidRPr="002A63BA" w:rsidRDefault="00AE101A" w:rsidP="00FF3EE4">
      <w:pPr>
        <w:pStyle w:val="Odlomakpopisa"/>
        <w:numPr>
          <w:ilvl w:val="0"/>
          <w:numId w:val="11"/>
        </w:num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Process</w:t>
      </w:r>
    </w:p>
    <w:p w14:paraId="7D329505" w14:textId="77777777" w:rsidR="00AE101A" w:rsidRPr="002A63BA" w:rsidRDefault="00AE101A" w:rsidP="00FF3EE4">
      <w:pPr>
        <w:pStyle w:val="Odlomakpopisa"/>
        <w:numPr>
          <w:ilvl w:val="0"/>
          <w:numId w:val="11"/>
        </w:num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Organizational</w:t>
      </w:r>
    </w:p>
    <w:p w14:paraId="188BD5C8" w14:textId="77777777" w:rsidR="00AE101A" w:rsidRPr="002A63BA" w:rsidRDefault="00AE101A" w:rsidP="00FF3EE4">
      <w:pPr>
        <w:pStyle w:val="Odlomakpopisa"/>
        <w:numPr>
          <w:ilvl w:val="0"/>
          <w:numId w:val="11"/>
        </w:num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Technological</w:t>
      </w:r>
    </w:p>
    <w:p w14:paraId="3F44BF12" w14:textId="26D50757" w:rsidR="00AE101A" w:rsidRDefault="00AE101A" w:rsidP="00FF3EE4">
      <w:pPr>
        <w:pStyle w:val="Odlomakpopisa"/>
        <w:numPr>
          <w:ilvl w:val="0"/>
          <w:numId w:val="11"/>
        </w:numPr>
        <w:spacing w:after="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Citizen-experience</w:t>
      </w:r>
    </w:p>
    <w:p w14:paraId="558750FF" w14:textId="77777777" w:rsidR="006F0B57" w:rsidRPr="006F0B57" w:rsidRDefault="006F0B57" w:rsidP="00FF3EE4">
      <w:pPr>
        <w:spacing w:after="0" w:line="276" w:lineRule="auto"/>
        <w:rPr>
          <w:rFonts w:ascii="Open Sans" w:hAnsi="Open Sans" w:cs="Open Sans"/>
          <w:color w:val="000000" w:themeColor="text1"/>
          <w:shd w:val="clear" w:color="auto" w:fill="FFFFFF"/>
        </w:rPr>
      </w:pPr>
    </w:p>
    <w:p w14:paraId="4B62F42C" w14:textId="77777777" w:rsidR="00AE101A" w:rsidRPr="00D22056" w:rsidRDefault="00AE101A" w:rsidP="00FF3EE4">
      <w:pPr>
        <w:spacing w:after="240" w:line="276" w:lineRule="auto"/>
        <w:rPr>
          <w:rFonts w:ascii="Open Sans" w:hAnsi="Open Sans" w:cs="Open Sans"/>
          <w:i/>
          <w:iCs/>
          <w:color w:val="000000" w:themeColor="text1"/>
          <w:shd w:val="clear" w:color="auto" w:fill="FFFFFF"/>
        </w:rPr>
      </w:pPr>
      <w:r w:rsidRPr="00D22056">
        <w:rPr>
          <w:rFonts w:ascii="Open Sans" w:hAnsi="Open Sans" w:cs="Open Sans"/>
          <w:i/>
          <w:iCs/>
          <w:color w:val="000000" w:themeColor="text1"/>
          <w:shd w:val="clear" w:color="auto" w:fill="FFFFFF"/>
        </w:rPr>
        <w:t>CITIZEN’S PERSPECTIVE WITHIN THE PROCESS MANAGEMENT INITIATIVES</w:t>
      </w:r>
    </w:p>
    <w:p w14:paraId="2E3E25A2"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shd w:val="clear" w:color="auto" w:fill="FFFFFF"/>
        </w:rPr>
        <w:t xml:space="preserve">Even though local governments and organizations in general frequently mention customers (citizens) as an integral part of the internal process reorganizations, traditional business process management approaches </w:t>
      </w:r>
      <w:r w:rsidRPr="002A63BA">
        <w:rPr>
          <w:rFonts w:ascii="Open Sans" w:hAnsi="Open Sans" w:cs="Open Sans"/>
          <w:color w:val="000000" w:themeColor="text1"/>
          <w:shd w:val="clear" w:color="auto" w:fill="FFFFFF"/>
        </w:rPr>
        <w:lastRenderedPageBreak/>
        <w:t xml:space="preserve">are primarily oriented on the modelling and the analysis of internal processes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{"citationItems":[{"id":"ITEM-1","itemData":{"DOI":"10.17705/1CAIS.04319","ISSN":"15293181","abstract":"This paper summarizes a panel discussion at the 15th International Conference on Business Process Management. The panel discussed to what extent the emergence of recent technologies including machine learning, robotic process automation, and blockchain will reduce the human factor in business process management. The panel discussion took place on 14 September, 2017, at the Universitat Politècnica de Catalunya in Barcelona, Spain. Jan Mendling served as a chair; Gero Decker, Richard Hull, Hajo Reijers, and Ingo Weber participated as panelists. The discussions emphasized the impact of emerging technologies at the task level and the coordination level. The major challenges that the panel identified relate to employment, technology acceptance, ethics, customer experience, job design, social integration, and regulation.","author":[{"dropping-particle":"","family":"Mendling","given":"Jan","non-dropping-particle":"","parse-names":false,"suffix":""},{"dropping-particle":"","family":"Decker","given":"Gero","non-dropping-particle":"","parse-names":false,"suffix":""},{"dropping-particle":"","family":"Reijers","given":"Hajo A.","non-dropping-particle":"","parse-names":false,"suffix":""},{"dropping-particle":"","family":"Hull","given":"Richard","non-dropping-particle":"","parse-names":false,"suffix":""},{"dropping-particle":"","family":"Weber","given":"Ingo","non-dropping-particle":"","parse-names":false,"suffix":""}],"container-title":"Communications of the Association for Information Systems","id":"ITEM-1","issue":"1","issued":{"date-parts":[["2018"]]},"page":"297-320","title":"How do machine learning, robotic process automation, and blockchains affect the human factor in business process management?","type":"article-journal","volume":"43"},"uris":["http://www.mendeley.com/documents/?uuid=7e05c54d-e8f4-4abc-9c59-14f8324b322c"]},{"id":"ITEM-2","itemData":{"abstract":"Leſt to their own devices, companies oſten neglect customers. But they don’t need to. We recommend that organizations use customer journey maps to examine interactions from their customers’ points of view. Mapping the customer journey requires five steps: 1) Collect internal insights; 2) develop initial hypotheses; 3) research customer processes, needs, and perceptions; 4) analyze customer research; and 5) map the customer journey. To get the most value from these journey maps, companies need to widely share findings, take action on insights, and sustain the learnings over time.","author":[{"dropping-particle":"","family":"Temkin","given":"Bruce D","non-dropping-particle":"","parse-names":false,"suffix":""}],"container-title":"Forrester Research","id":"ITEM-2","issued":{"date-parts":[["2010"]]},"title":"Mapping The Customer Journey","type":"article-journal"},"uris":["http://www.mendeley.com/documents/?uuid=92d9cbe1-87dd-4b08-ac30-834de6d0051f"]},{"id":"ITEM-3","itemData":{"author":[{"dropping-particle":"","family":"Davis","given":"Rob","non-dropping-particle":"","parse-names":false,"suffix":""}],"container-title":"A BPTrends Column","id":"ITEM-3","issued":{"date-parts":[["2011"]]},"page":"1-5","title":"It’s the Customer Journey That Counts","type":"article-journal"},"uris":["http://www.mendeley.com/documents/?uuid=dae5072c-7e2d-4349-9acd-bd795706587e"]},{"id":"ITEM-4","itemData":{"DOI":"10.1007/978-3-642-14799-9_33","ISBN":"3642147984","ISSN":"03029743","abstract":"Business Process Management (BPM) can be viewed as a set of techniques to integrate, build, and reconfigure an organization's business processes for the purpose achieving a fit with the market environment. While business processes are rather stable in low-dynamic markets, the frequency, quality, and importance of process change amplifies with an increase in environmental dynamics. We show that existing designs of public sector BPM might not be able to cope with the mounting frequency and quality of business process change. Our qualitative in-depth case study of a local government suggests that a major cause for such misfit lies in ineffective organizational learning. We contribute to the literature by applying the Dynamic Capability framework to public sector BPM in order to better understand shifts in market dynamics and their consequences for BPM effectiveness. Practitioners find a proposal for identifying, understanding, and reacting to a BPM-misfit and for developing effective BPM strategies. © 2010 Springer-Verlag Berlin Heidelberg.","author":[{"dropping-particle":"","family":"Niehaves","given":"Bjoern","non-dropping-particle":"","parse-names":false,"suffix":""},{"dropping-particle":"","family":"Plattfaut","given":"Ralf","non-dropping-particle":"","parse-names":false,"suffix":""}],"container-title":"Lecture Notes in Computer Science (including subseries Lecture Notes in Artificial Intelligence and Lecture Notes in Bioinformatics)","id":"ITEM-4","issued":{"date-parts":[["2010"]]},"page":"387-399","title":"From bureaucratic to quasi-market environments: On the co-evolution of public sector business process management","type":"article-journal","volume":"6228 LNCS"},"uris":["http://www.mendeley.com/documents/?uuid=0d230885-f30e-4b2e-a55b-4d5a8ea59fcc"]},{"id":"ITEM-5","itemData":{"DOI":"10.1002/kpm.1652","ISSN":"10991441","abstract":"Nowadays, organizations strive for business process optimization to survive the current competitive business environment. The widespread use of social media and Web 2.0 applications has dramatically changed the structure of the business process. Such evolution caused an increase in the flow of data and information, which led to knowledge-intensive business processes. Thus, modeling the knowledge-intensive processes became essential to make use of the flow of knowledge from social media and to fulfill their demanding requirements. Therefore, knowledge and social dimensions should be integrated into the traditional business process life cycle. This integration yields a large flow of customer knowledge that needs to be efficiently used and managed. Moreover, the use of ontologies for knowledge representation opens up a supplementary view for providing machine-accessible terminology to processes. Ontologies make a significant contribution to the categorization and organization of the incorporated and unstructured information. This paper proposes a framework that integrates the social business processes with a knowledge base in the form of an ontology to manage and enhance the overall customer experience. The proposed framework aims to enable organizations to improve knowledge support for their customer-driven business processes. In addition, the extracted knowledge from social media will support organizations in managing the customer knowledge and building up the relationships with customers. The proposed social ontology will ease the querying of existing customer knowledge and inferring new knowledge that enhances optimizing the business process, and customer experience.","author":[{"dropping-particle":"","family":"Helmy","given":"Yehia M.","non-dropping-particle":"","parse-names":false,"suffix":""},{"dropping-particle":"","family":"Abdelgaber","given":"Sayed","non-dropping-particle":"","parse-names":false,"suffix":""},{"dropping-particle":"","family":"Fahmy","given":"Hanan","non-dropping-particle":"","parse-names":false,"suffix":""},{"dropping-particle":"","family":"Montasser","given":"Hend S.","non-dropping-particle":"","parse-names":false,"suffix":""}],"container-title":"Knowledge and Process Management","id":"ITEM-5","issue":"4","issued":{"date-parts":[["2020"]]},"page":"262-271","title":"A conceptual ontological framework for managing the social business process to enhance customer experience","type":"article-journal","volume":"27"},"uris":["http://www.mendeley.com/documents/?uuid=2e50aa0e-6517-4bdd-a1a8-74a696d7d144"]}],"mendeley":{"formattedCitation":"(Niehaves and Plattfaut, 2010; Temkin, 2010; Davis, 2011; Mendling &lt;i&gt;et al.&lt;/i&gt;, 2018; Helmy &lt;i&gt;et al.&lt;/i&gt;, 2020)","plainTextFormattedCitation":"(Niehaves and Plattfaut, 2010; Temkin, 2010; Davis, 2011; Mendling et al., 2018; Helmy et al., 2020)","previouslyFormattedCitation":"(Niehaves and Plattfaut, 2010; Temkin, 2010; Davis, 2011; Mendling &lt;i&gt;et al.&lt;/i&gt;, 2018; Helmy &lt;i&gt;et al.&lt;/i&gt;, 2020)"},"properties":{"noteIndex":0},"schema":"https://github.com/citation-style-language/schema/raw/master/csl-citation.json"}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 xml:space="preserve">(Niehaves and Plattfaut, 2010; Temkin, 2010; Davis, 2011; Mendling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xml:space="preserve">, 2018; Helmy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2020)</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xml:space="preserve">. However, external perspective which considers citizens and their journeys is becoming more and more relevant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{"citationItems":[{"id":"ITEM-1","itemData":{"DOI":"10.1007/978-3-319-08222-6","ISBN":"9783319082219","ISSN":"18651348","abstract":"Business Process Management has substantially matured over the last two decades. The techniques, methods and systems available to scope, model, analyze, implement, execute, monitor and even mine a process have been scientifically researched and can be in most cases deployed in practice. In fact, many of these BPM capabilities are nowadays a commodity. However, an opportunity-rich environment and rapidly emerging digital disruptions require new BPM capabilities. In light of this context, this paper proposes three future research and development directions for BPM academics and professionals. First, Ambidextrous BPM demands the shift of focus from exploitative to explorative BPM. Second, Value-driven BPM postulates a stronger focus on the desired outcomes as opposed to the available BPM methods. Third, Customer Process Management suggests complementing the dominating internal view of BPM with a stronger, design-inspired view on the process experiences of external stakeholders.","author":[{"dropping-particle":"","family":"Rosemann","given":"Michael","non-dropping-particle":"","parse-names":false,"suffix":""}],"container-title":"Lecture Notes in Business Information Processing","id":"ITEM-1","issued":{"date-parts":[["2014"]]},"page":"1-15","title":"Proposals for future BPM research directions","type":"article-journal","volume":"181 LNBIP"},"uris":["http://www.mendeley.com/documents/?uuid=4fbcd8bb-70fd-45f0-bf9d-dbfd102071d3"]},{"id":"ITEM-2","itemData":{"ISBN":"9781784716639","author":[{"dropping-particle":"","family":"Gloppen","given":"Judith","non-dropping-particle":"","parse-names":false,"suffix":""},{"dropping-particle":"","family":"Lindquister","given":"Berit","non-dropping-particle":"","parse-names":false,"suffix":""},{"dropping-particle":"","family":"Daae","given":"Hans- Peter","non-dropping-particle":"","parse-names":false,"suffix":""}],"chapter-number":"6.","container-title":"International Perspectives on Business Innovation and Disruption in Design","editor":[{"dropping-particle":"","family":"DeFillippi","given":"Robert","non-dropping-particle":"","parse-names":false,"suffix":""},{"dropping-particle":"","family":"Rieple","given":"Alison","non-dropping-particle":"","parse-names":false,"suffix":""},{"dropping-particle":"","family":"Wikström","given":"Patrik","non-dropping-particle":"","parse-names":false,"suffix":""}],"id":"ITEM-2","issued":{"date-parts":[["2016"]]},"page":"118-136","title":"The customer journey as a tool for business innovation and transformation","type":"chapter"},"uris":["http://www.mendeley.com/documents/?uuid=2e25c6b6-bec3-4188-b61f-a63bc1b72309"]}],"mendeley":{"formattedCitation":"(Rosemann, 2014; Gloppen, Lindquister and Daae, 2016)","plainTextFormattedCitation":"(Rosemann, 2014; Gloppen, Lindquister and Daae, 2016)","previouslyFormattedCitation":"(Rosemann, 2014; Gloppen, Lindquister and Daae, 2016)"},"properties":{"noteIndex":0},"schema":"https://github.com/citation-style-language/schema/raw/master/csl-citation.json"}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(Rosemann, 2014; Gloppen, Lindquister and Daae, 2016)</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xml:space="preserve">. Some authors have recognized this synergy with the external perspective as the future of the business process management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URL":"http://bpm.com/bpm-today/blogs/1136-end-of-the-road-for-end-to-end-process-transformation","accessed":{"date-parts":[["2017","4","26"]]},"author":[{"dropping-particle":"","family":"Richardson","given":"Clay","non-dropping-particle":"","parse-names":false,"suffix":""}],"container-title":"Blog by Business Process Management, Inc","id":"ITEM-1","issued":{"date-parts":[["2016"]]},"title":"End of the Road for End-to-End Process Transformation","type":"webpage"},"uris":["http://www.mendeley.com/documents/?uuid=7d8db45b-54cf-3d1b-8e5c-1e94c3b7fc31"]}],"mendeley":{"formattedCitation":"(Richardson, 2016)","plainTextFormattedCitation":"(Richardson, 2016)","previouslyFormattedCitation":"(Richardson, 2016)"},"properties":{"noteIndex":0},"schema":"https://github.com/citation-style-language/schema/raw/master/csl-citation.json"}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(Richardson, 2016)</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xml:space="preserve">. </w:t>
      </w:r>
    </w:p>
    <w:p w14:paraId="2136960A" w14:textId="77777777" w:rsidR="00AE101A" w:rsidRPr="002A63BA" w:rsidRDefault="00AE101A" w:rsidP="00FF3EE4">
      <w:p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 xml:space="preserve">Many authors have emphasised the importance of customer oriented process design </w:t>
      </w:r>
      <w:r w:rsidRPr="002A63BA">
        <w:rPr>
          <w:rFonts w:ascii="Open Sans" w:hAnsi="Open Sans" w:cs="Open Sans"/>
          <w:color w:val="000000" w:themeColor="text1"/>
          <w:shd w:val="clear" w:color="auto" w:fill="FFFFFF"/>
        </w:rPr>
        <w:fldChar w:fldCharType="begin" w:fldLock="1"/>
      </w:r>
      <w:r w:rsidRPr="002A63BA">
        <w:rPr>
          <w:rFonts w:ascii="Open Sans" w:hAnsi="Open Sans" w:cs="Open Sans"/>
          <w:color w:val="000000" w:themeColor="text1"/>
          <w:shd w:val="clear" w:color="auto" w:fill="FFFFFF"/>
        </w:rPr>
        <w:instrText>ADDIN CSL_CITATION {"citationItems":[{"id":"ITEM-1","itemData":{"author":[{"dropping-particle":"","family":"Esfahani","given":"Mohammad Dalvi","non-dropping-particle":"","parse-names":false,"suffix":""},{"dropping-particle":"","family":"Rahman","given":"Azizah Abdul","non-dropping-particle":"","parse-names":false,"suffix":""},{"dropping-particle":"","family":"Zakaria","given":"Nor Hidayati","non-dropping-particle":"","parse-names":false,"suffix":""}],"container-title":"Proceedings - Pacific Asia Conference on Information Systems,","id":"ITEM-1","issued":{"date-parts":[["2013"]]},"title":"Customer Oriented Business Process Improvement Metodology for Public Sector Organizations","type":"article-journal"},"uris":["http://www.mendeley.com/documents/?uuid=d92d7ba5-649e-4109-9984-4cdbf7810ed6"]},{"id":"ITEM-2","itemData":{"DOI":"10.1109/IEEM.2011.6118135","ISBN":"9781457707391","ISSN":"21573611","abstract":"Business process orientation means focusing on the organization's business processes instead of placing emphasis on functional structures or hierarchies. In this paper we discuss the approach of process cascading and segmentation, a design principle which helps organizations to build its structure around its customer-oriented business processes. Cascading of processes is an approach where the organization's business process design is based on internal customer-supplier relationships which ensure that every business process of the organization has a clearly defined (internal) customer which places an order and also receives the results. Segmentation of business processes refers to the idea of creating process variants of business processes which face heterogeneous market and/or customer. Both principles - cascading and segmentation of business processes - complement each other. We show how these design principles are applied in practice by using an Austrian manufacturing firm as a case study. © 2011 IEEE.","author":[{"dropping-particle":"","family":"Kohlbacher","given":"M.","non-dropping-particle":"","parse-names":false,"suffix":""},{"dropping-particle":"","family":"Weitlaner","given":"D.","non-dropping-particle":"","parse-names":false,"suffix":""}],"container-title":"IEEE International Conference on Industrial Engineering and Engineering Management","id":"ITEM-2","issued":{"date-parts":[["2011"]]},"page":"1343-1347","title":"Process cascade- and segmentation-based organizational design: A case study","type":"article-journal"},"uris":["http://www.mendeley.com/documents/?uuid=20aa2c3a-4e1f-4201-9d56-b6a55f34d714"]},{"id":"ITEM-3","itemData":{"DOI":"10.1007/s10257-010-0147-z","ISSN":"16179846","abstract":"IT providers are increasingly facing the challenge to adapt their previously resource oriented service portfolios in order to offer their customers services which explicitly support business processes. Such customer centric service propositions, however, seem to contradict the demand for standardized and automated operational IT processes more than traditional IT service offers, as they are even more subject to customer individual reengineering efforts due to permanently changing business requirements. In order to reconcile increased efficiency in operational processes and effectiveness in consumer oriented service propositions, we propose (1) to predefine all service propositions in consideration of both consumer oriented commitments and operational processes, and (2) to allow for standardized customization by offering a selection of complementary service propositions that extend commitments regarding customer oriented functionality and performance. Such service propositions are aligned with a company's entities such as workplaces. Thereby the customer organization is enabled to trace, control and adjust commitments, value and expenses of IT services per entity in its business. We introduce a procedural model for designing and on-demand requesting this kind of service propositions, and we illustrate the model's application and impact by examples taken from two large projects with an associated IT provider. © 2010 Springer-Verlag.","author":[{"dropping-particle":"","family":"Brocke","given":"Henrik","non-dropping-particle":"","parse-names":false,"suffix":""},{"dropping-particle":"","family":"Uebernickel","given":"Falk","non-dropping-particle":"","parse-names":false,"suffix":""},{"dropping-particle":"","family":"Brenner","given":"Walter","non-dropping-particle":"","parse-names":false,"suffix":""}],"container-title":"Information Systems and e-Business Management","id":"ITEM-3","issue":"2","issued":{"date-parts":[["2010"]]},"page":"283-302","title":"A methodical procedure for designing consumer oriented on-demand IT service propositions","type":"article-journal","volume":"9"},"uris":["http://www.mendeley.com/documents/?uuid=15b9c86e-5065-4b9a-8e6c-5392b4fc53c0"]},{"id":"ITEM-4","itemData":{"DOI":"10.1108/17410400410509950","ISSN":"17410401","abstract":"The last decade has seen the emergence of customer relationship management (CRM) as a technique to underpin organisational performance improvement in improving customer retention, customer satisfaction and customer value. However, evidence suggests that many CRM initiatives fail. Suggests that CRM does not go far enough in changing the underlying culture and systems of an organisation. What is needed is complete customer-centric business processing (CCBP), whereby all business processes and all individuals are focused on identifying and meeting the needs of customer. Explains the concepts behind CCBP and describes the key organisational changes that are needed to underpin CCBP. © 2004, Emerald Group Publishing Limited","author":[{"dropping-particle":"","family":"Bolton","given":"Mike","non-dropping-particle":"","parse-names":false,"suffix":""}],"container-title":"International Journal of Productivity and Performance Management","id":"ITEM-4","issue":"1","issued":{"date-parts":[["2004"]]},"page":"44-51","title":"Customer centric business processing","type":"article-journal","volume":"53"},"uris":["http://www.mendeley.com/documents/?uuid=dcef58d7-2e73-4bdc-b5c7-f469f9780100"]},{"id":"ITEM-5","itemData":{"ISSN":"0520130049","author":[{"dropping-particle":"","family":"Alt","given":"Rainer","non-dropping-particle":"","parse-names":false,"suffix":""},{"dropping-particle":"","family":"Puschmann","given":"Thomas","non-dropping-particle":"","parse-names":false,"suffix":""}],"container-title":"Business Process Management Journal","id":"ITEM-5","issue":"4","issued":{"date-parts":[["2005"]]},"page":"297-315","title":"Developing customer process orientation: the case of Pharma Corp.","type":"article-journal","volume":"11"},"uris":["http://www.mendeley.com/documents/?uuid=abf831bd-45f8-46e7-a4ed-a60aedd530fd"]},{"id":"ITEM-6","itemData":{"DOI":"10.1007/978-1-4471-2297-5","ISBN":"9781447122975","abstract":"Software has long been perceived as complex, at least within Software Engineering circles. We have been living in a recognised state of crisis since the first NATO Software Engineering conference in 1968. Time and again we have been proven unable to engineer reliable software as easily/cheaply as we imagined. Cost overruns and expensive failures are the norm. The problem is fundamentally one of complexity: software is fundamentally complex because it must be precise. Problems that appear to be specified quite easily in plain language become far more complex when written in a more formal notation, such as computer code. Comparisons with other engineering disciplines are deceptive. One cannot easily increase the factor of safety of software in the same way that one could in building a steel structure, for example. Software is typically built assuming perfection, often without adequate safety nets in case the unthinkable happens. In such circumstances it should not be surprising to find out that (seemingly) minor errors have the potential to cause entire software systems to collapse. The goal of this book is to uncover techniques that will aid in overcoming complexity and enable us to produce reliable, dependable computer systems that will operate as intended, and yet are produced on-time, in budget, and are evolvable, both over time and at run time. We hope that the contributions in this book will aid in understanding the nature of software complexity and provide guidance for the control or avoidance of complexity in the engineering of complex software systems.","author":[{"dropping-particle":"","family":"Margaria","given":"Tiziana","non-dropping-particle":"","parse-names":false,"suffix":""},{"dropping-particle":"","family":"Boßelmann","given":"Steve","non-dropping-particle":"","parse-names":false,"suffix":""},{"dropping-particle":"","family":"Doedt","given":"Markus","non-dropping-particle":"","parse-names":false,"suffix":""},{"dropping-particle":"","family":"Floyd","given":"Barry D.","non-dropping-particle":"","parse-names":false,"suffix":""},{"dropping-particle":"","family":"Steffen","given":"Bernhard","non-dropping-particle":"","parse-names":false,"suffix":""}],"container-title":"Conquering Complexity","id":"ITEM-6","issued":{"date-parts":[["2012"]]},"page":"1-466","title":"Customer-Oriented Business Process Management: Vision and Obstacles","type":"chapter"},"uris":["http://www.mendeley.com/documents/?uuid=ab7eb7ca-0126-42f5-9db8-7384d86c4198"]},{"id":"ITEM-7","itemData":{"DOI":"10.1007/978-3-540-75183-0_9","ISBN":"9783540751823","ISSN":"16113349","abstract":"Even though, financial services providers claim to offer customer-orientated services, they still focus on delivering products instead of providing solutions to their customers' issues. Especially, small and medium-sized enterprises only get offered products which solve isolated problems, e.g. liquidity, financing, and investment services. However, these services do not reflect the intrinsic requirements of business clients such as procurement, sales and marketing, order fulfillment. Hence, customers' perception of banking services is often far from satisfaction. Therefore, the consistent alignment of financial services to customer processes becomes increasingly important to enhance competitiveness of banks. To provide such a continuous support of customer needs this paper examines the identification of customer processes and requirements and proposes a process model which closely ties up to customer processes. This approach expands current notion of banking. The authors present their approach by using an example of small and medium-sized enterprises as clients of commercial banks. © Springer-Verlag Berlin Heidelberg 2007.","author":[{"dropping-particle":"","family":"Heckl","given":"Diana","non-dropping-particle":"","parse-names":false,"suffix":""},{"dropping-particle":"","family":"Moormann","given":"Jürgen","non-dropping-particle":"","parse-names":false,"suffix":""}],"container-title":"Lecture Notes in Computer Science (including subseries Lecture Notes in Artificial Intelligence and Lecture Notes in Bioinformatics)","id":"ITEM-7","issued":{"date-parts":[["2007"]]},"page":"112-124","title":"Matching customer processes with business processes of banks: The example of small and medium-sized enterprises as bank customers","type":"article-journal","volume":"4714 LNCS"},"uris":["http://www.mendeley.com/documents/?uuid=05693b50-2d13-4ba1-936b-4851944c2bb0"]},{"id":"ITEM-8","itemData":{"ISSN":"14569418","abstract":"In industry, planning for performance has traditionally been made separately via approaches such as strategic planning, manufacturing and product planning, and quality planning. However, planning for performance of general business processes requires cross-disciplinary approaches which combine all these perspectives. Moreover, in planning for performance information is needed on the very nature of the business process chain and associated activities, resources, constraints and capabilities. It is especially important to study the needs of customers and stakeholders. This dissertation presents a framework and methodology for studying these aspects via means of enterprise modelling. The new modelling framework presented in this dissertation integrates methods of different nature from different disciplines in manufacturing and transforms them to be used in business process modelling. The development of the framework incorporates three phases. In the first phase, basic business process models designed with the IDEF0 method are integrated via Quality Function Deployment (QFD) with customer requirement models and statistical modelling to produce a skeleton for the model and to generate the necessary information needed in customer oriented business process simulation. The second phase completes the framework via Value Analysis (VA) by producing business process designs that create more value to customers, stakeholders and the company. In the second phase, these basic methods are also interfaced with Failure Modes and Effects Analysis (FMEA) to generate information about constraints of processes and their environments. Finally, guidelines for using the framework in business process performance assessment are presented in the third phase. Parallel with the development of the framework, this dissertation applies the methods to real-world business processes at NAPS and InterNAPS Ltd. to show the benefit and value attained in modelling, designing and analysing processes. The principles used in the software implementation of the framework are also presented. This dissertation shows that the framework broadens the possibilities for a more complete understanding of customer requirements and their significance to a particular business process chain. On the other hand, the framework provides better opportunities to tackle the issues needed in the redesign processes. Via comparison to current scientific knowledge and state-of-the-art approaches in this area, it is conclu…","author":[{"dropping-particle":"","family":"Rajala","given":"Mikko","non-dropping-particle":"","parse-names":false,"suffix":""},{"dropping-particle":"","family":"Savolainen","given":"Tapani","non-dropping-particle":"","parse-names":false,"suffix":""}],"container-title":"Computer Integrated Manufacturing Systems","id":"ITEM-8","issue":"3","issued":{"date-parts":[["1996"]]},"page":"127-135","title":"A framework for customer oriented business process modelling","type":"article-journal","volume":"9"},"uris":["http://www.mendeley.com/documents/?uuid=2ebaa0cb-15c7-4183-ad90-7e897107a141"]}],"mendeley":{"formattedCitation":"(Rajala and Savolainen, 1996; Bolton, 2004; Alt and Puschmann, 2005; Heckl and Moormann, 2007; Brocke, Uebernickel and Brenner, 2010; Kohlbacher and Weitlaner, 2011; Margaria &lt;i&gt;et al.&lt;/i&gt;, 2012; Esfahani, Rahman and Zakaria, 2013)","plainTextFormattedCitation":"(Rajala and Savolainen, 1996; Bolton, 2004; Alt and Puschmann, 2005; Heckl and Moormann, 2007; Brocke, Uebernickel and Brenner, 2010; Kohlbacher and Weitlaner, 2011; Margaria et al., 2012; Esfahani, Rahman and Zakaria, 2013)","previouslyFormattedCitation":"(Rajala and Savolainen, 1996; Bolton, 2004; Alt and Puschmann, 2005; Heckl and Moormann, 2007; Brocke, Uebernickel and Brenner, 2010; Kohlbacher and Weitlaner, 2011; Margaria &lt;i&gt;et al.&lt;/i&gt;, 2012; Esfahani, Rahman and Zakaria, 2013)"},"properties":{"noteIndex":0},"schema":"https://github.com/citation-style-language/schema/raw/master/csl-citation.json"}</w:instrText>
      </w:r>
      <w:r w:rsidRPr="002A63BA">
        <w:rPr>
          <w:rFonts w:ascii="Open Sans" w:hAnsi="Open Sans" w:cs="Open Sans"/>
          <w:color w:val="000000" w:themeColor="text1"/>
          <w:shd w:val="clear" w:color="auto" w:fill="FFFFFF"/>
        </w:rPr>
        <w:fldChar w:fldCharType="separate"/>
      </w:r>
      <w:r w:rsidRPr="002A63BA">
        <w:rPr>
          <w:rFonts w:ascii="Open Sans" w:hAnsi="Open Sans" w:cs="Open Sans"/>
          <w:noProof/>
          <w:color w:val="000000" w:themeColor="text1"/>
          <w:shd w:val="clear" w:color="auto" w:fill="FFFFFF"/>
        </w:rPr>
        <w:t xml:space="preserve">(Rajala and Savolainen, 1996; Bolton, 2004; Alt and Puschmann, 2005; Heckl and Moormann, 2007; Brocke, Uebernickel and Brenner, 2010; Kohlbacher and Weitlaner, 2011; Margaria </w:t>
      </w:r>
      <w:r w:rsidRPr="002A63BA">
        <w:rPr>
          <w:rFonts w:ascii="Open Sans" w:hAnsi="Open Sans" w:cs="Open Sans"/>
          <w:i/>
          <w:noProof/>
          <w:color w:val="000000" w:themeColor="text1"/>
          <w:shd w:val="clear" w:color="auto" w:fill="FFFFFF"/>
        </w:rPr>
        <w:t>et al.</w:t>
      </w:r>
      <w:r w:rsidRPr="002A63BA">
        <w:rPr>
          <w:rFonts w:ascii="Open Sans" w:hAnsi="Open Sans" w:cs="Open Sans"/>
          <w:noProof/>
          <w:color w:val="000000" w:themeColor="text1"/>
          <w:shd w:val="clear" w:color="auto" w:fill="FFFFFF"/>
        </w:rPr>
        <w:t>, 2012; Esfahani, Rahman and Zakaria, 2013)</w:t>
      </w:r>
      <w:r w:rsidRPr="002A63BA">
        <w:rPr>
          <w:rFonts w:ascii="Open Sans" w:hAnsi="Open Sans" w:cs="Open Sans"/>
          <w:color w:val="000000" w:themeColor="text1"/>
          <w:shd w:val="clear" w:color="auto" w:fill="FFFFFF"/>
        </w:rPr>
        <w:fldChar w:fldCharType="end"/>
      </w:r>
      <w:r w:rsidRPr="002A63BA">
        <w:rPr>
          <w:rFonts w:ascii="Open Sans" w:hAnsi="Open Sans" w:cs="Open Sans"/>
          <w:color w:val="000000" w:themeColor="text1"/>
          <w:shd w:val="clear" w:color="auto" w:fill="FFFFFF"/>
        </w:rPr>
        <w:t xml:space="preserve">. This is especially relevant within the strategic, early phases of process management and customer experience management initiatives. It is crucial to have an understanding of the external processes related to citizens and their needs – in order to be able to setup and prioritize internal organizational improvement initiatives. This is especially relevant in the context of transitioning from the </w:t>
      </w:r>
      <w:r w:rsidRPr="002A63BA">
        <w:rPr>
          <w:rFonts w:ascii="Open Sans" w:hAnsi="Open Sans" w:cs="Open Sans"/>
          <w:i/>
          <w:iCs/>
          <w:color w:val="000000" w:themeColor="text1"/>
          <w:shd w:val="clear" w:color="auto" w:fill="FFFFFF"/>
        </w:rPr>
        <w:t>traditional</w:t>
      </w:r>
      <w:r w:rsidRPr="002A63BA">
        <w:rPr>
          <w:rFonts w:ascii="Open Sans" w:hAnsi="Open Sans" w:cs="Open Sans"/>
          <w:color w:val="000000" w:themeColor="text1"/>
          <w:shd w:val="clear" w:color="auto" w:fill="FFFFFF"/>
        </w:rPr>
        <w:t xml:space="preserve"> to </w:t>
      </w:r>
      <w:r w:rsidRPr="002A63BA">
        <w:rPr>
          <w:rFonts w:ascii="Open Sans" w:hAnsi="Open Sans" w:cs="Open Sans"/>
          <w:i/>
          <w:iCs/>
          <w:color w:val="000000" w:themeColor="text1"/>
          <w:shd w:val="clear" w:color="auto" w:fill="FFFFFF"/>
        </w:rPr>
        <w:t>smart</w:t>
      </w:r>
      <w:r w:rsidRPr="002A63BA">
        <w:rPr>
          <w:rFonts w:ascii="Open Sans" w:hAnsi="Open Sans" w:cs="Open Sans"/>
          <w:color w:val="000000" w:themeColor="text1"/>
          <w:shd w:val="clear" w:color="auto" w:fill="FFFFFF"/>
        </w:rPr>
        <w:t xml:space="preserve"> cities.</w:t>
      </w:r>
    </w:p>
    <w:p w14:paraId="4626BD79" w14:textId="77777777" w:rsidR="00AE101A" w:rsidRPr="002A63BA" w:rsidRDefault="00AE101A" w:rsidP="00FF3EE4">
      <w:pPr>
        <w:spacing w:after="240" w:line="276" w:lineRule="auto"/>
        <w:rPr>
          <w:rFonts w:ascii="Open Sans" w:hAnsi="Open Sans" w:cs="Open Sans"/>
          <w:color w:val="000000" w:themeColor="text1"/>
          <w:shd w:val="clear" w:color="auto" w:fill="FFFFFF"/>
        </w:rPr>
      </w:pPr>
      <w:r w:rsidRPr="002A63BA">
        <w:rPr>
          <w:rFonts w:ascii="Open Sans" w:hAnsi="Open Sans" w:cs="Open Sans"/>
          <w:color w:val="000000" w:themeColor="text1"/>
          <w:shd w:val="clear" w:color="auto" w:fill="FFFFFF"/>
        </w:rPr>
        <w:t>Modelling and the analysis of the perspective of the external citizens in convergence with the internal organization can be recognized as significant challenges not only in the domain of methodologies or operationalized approaches, but also the technological tools to support this.</w:t>
      </w:r>
    </w:p>
    <w:p w14:paraId="573F9B81" w14:textId="64C06E8A" w:rsidR="00AE101A" w:rsidRPr="00D22056" w:rsidRDefault="00AE101A" w:rsidP="00FF3EE4">
      <w:pPr>
        <w:spacing w:after="240" w:line="276" w:lineRule="auto"/>
        <w:rPr>
          <w:rFonts w:ascii="Open Sans" w:hAnsi="Open Sans" w:cs="Open Sans"/>
          <w:i/>
          <w:iCs/>
          <w:color w:val="000000" w:themeColor="text1"/>
          <w:shd w:val="clear" w:color="auto" w:fill="FFFFFF"/>
        </w:rPr>
      </w:pPr>
      <w:r w:rsidRPr="00D22056">
        <w:rPr>
          <w:rFonts w:ascii="Open Sans" w:hAnsi="Open Sans" w:cs="Open Sans"/>
          <w:i/>
          <w:iCs/>
          <w:color w:val="000000" w:themeColor="text1"/>
          <w:shd w:val="clear" w:color="auto" w:fill="FFFFFF"/>
        </w:rPr>
        <w:t>PROCESS MANAGEMENT PERSPECTIVE WITHIN THE CITIZEN’S EXPERIENCE</w:t>
      </w:r>
    </w:p>
    <w:p w14:paraId="3E3D87D1"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eastAsia="Calibri" w:hAnsi="Open Sans" w:cs="Open Sans"/>
          <w:iCs/>
          <w:color w:val="000000" w:themeColor="text1"/>
          <w:shd w:val="clear" w:color="auto" w:fill="FFFFFF"/>
          <w:lang w:eastAsia="en-GB"/>
        </w:rPr>
        <w:t xml:space="preserve">In order to improve the orientation of cities towards their citizens and form an enabler for smart cities implementation, coordinated changes of internal business processes, as well as IT systems, which take citizen’s expectations into account are necessary. </w:t>
      </w:r>
      <w:r w:rsidRPr="002A63BA">
        <w:rPr>
          <w:rFonts w:ascii="Open Sans" w:hAnsi="Open Sans" w:cs="Open Sans"/>
          <w:color w:val="000000" w:themeColor="text1"/>
        </w:rPr>
        <w:t xml:space="preserve">For the experience of citizens to be improved, it is necessary to develop goals, identify key internal processes and key performance indicators, and associate the requirements of citizens with city’s internal processes. According to that, </w:t>
      </w:r>
      <w:r w:rsidRPr="002A63BA">
        <w:rPr>
          <w:rFonts w:ascii="Open Sans" w:hAnsi="Open Sans" w:cs="Open Sans"/>
          <w:color w:val="000000" w:themeColor="text1"/>
        </w:rPr>
        <w:lastRenderedPageBreak/>
        <w:t xml:space="preserve">priorities for the future initiatives in the domains of business process management and customer experience management should be set. </w:t>
      </w:r>
    </w:p>
    <w:p w14:paraId="5990429A"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By better understanding of citizen’s experience, improvements of relevant internal processes in the context of optimizing the individual touchpoints as well as the entire journey of citizens are possible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{"citationItems":[{"id":"ITEM-1","itemData":{"DOI":"10.1016/j.promfg.2019.02.261","ISSN":"23519789","abstract":"Digitization has subjected nowadays business models to dramatic changes. This commitment to innovation forced even the giants of technology to shift and adapt their own business models (e.g. Google developed a rival social network for Facebook, and a cloud file-storage in order to propose an inexpensive version of Dropbox or One Drive, Microsoft developed an online version of Microsoft Office). Organization's agility must be embedded in companies' strategies to survive in a market where everything changes with a tremendous quickness. Customer journey mapping, embedded with business process management systems, can assure an improved digital customer experience. Design thinking, a methodology used by several high-tech companies like Apple and IBM, helps the designers to better understand customers' needs in order to provide desirable solutions. This paper proposes a new approach of generating customer traces from information systems like CRMS to improve customer experience. A germane fact is that companies should use state of the art methods and techniques to better understand customers' needs and Process Mining algorithms are among the most suitable solutions for this type of analysis.","author":[{"dropping-particle":"","family":"Osman","given":"Cristina Claudia","non-dropping-particle":"","parse-names":false,"suffix":""},{"dropping-particle":"","family":"Ghiran","given":"Ana Maria","non-dropping-particle":"","parse-names":false,"suffix":""}],"container-title":"Procedia Manufacturing","id":"ITEM-1","issued":{"date-parts":[["2019"]]},"page":"619-626","publisher":"Elsevier B.V.","title":"Extracting Customer Traces from CRMS: From Software to Process Models","type":"article-journal","volume":"32"},"uris":["http://www.mendeley.com/documents/?uuid=679eb67f-3dd0-47b8-ba8e-b882f1ea93e8"]}],"mendeley":{"formattedCitation":"(Osman and Ghiran, 2019)","plainTextFormattedCitation":"(Osman and Ghiran, 2019)","previouslyFormattedCitation":"(Osman and Ghiran, 2019)"},"properties":{"noteIndex":0},"schema":"https://github.com/citation-style-language/schema/raw/master/csl-citation.json"}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(Osman and Ghiran, 2019)</w:t>
      </w:r>
      <w:r w:rsidRPr="002A63BA">
        <w:rPr>
          <w:rFonts w:ascii="Open Sans" w:hAnsi="Open Sans" w:cs="Open Sans"/>
          <w:color w:val="000000" w:themeColor="text1"/>
        </w:rPr>
        <w:fldChar w:fldCharType="end"/>
      </w:r>
      <w:r w:rsidRPr="002A63BA">
        <w:rPr>
          <w:rFonts w:ascii="Open Sans" w:hAnsi="Open Sans" w:cs="Open Sans"/>
          <w:color w:val="000000" w:themeColor="text1"/>
        </w:rPr>
        <w:t>. Feedback of citizens in regards to their needs can play a crucial role in customer-oriented smart services.</w:t>
      </w:r>
    </w:p>
    <w:p w14:paraId="0E57FA72"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The analysis of customer’s needs should be the key prerequisite for any process improvement initiative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{"citationItems":[{"id":"ITEM-1","itemData":{"ISBN":"07353766","ISSN":"07353766","PMID":"212592919","abstract":"The current study was undertaken to further understanding of supply chain process integration. It is suggested that supply chain integration, the practice of realigning firms' operating structures, should be understood from an internal-external perspective and a process view. Drawing upon four theories-Strategy-Structure-Performance framework, the resource based view of the firm, transaction cost economics, and social network analysis-and combining industry inputs, a theoretical framework of supply chain process integration is developed. It is argued that a firm's strategic priorities are key factors of supply chain process integration. Superior performance is likely to be achieved when necessary supply chain capabilities are developed through supply chain process integration.","author":[{"dropping-particle":"","family":"Chen","given":"Haozhe","non-dropping-particle":"","parse-names":false,"suffix":""},{"dropping-particle":"","family":"Daugherty","given":"Patricia J.","non-dropping-particle":"","parse-names":false,"suffix":""},{"dropping-particle":"","family":"Landry","given":"Timothy D.","non-dropping-particle":"","parse-names":false,"suffix":""}],"container-title":"Journal of Business Logistics","id":"ITEM-1","issue":"2","issued":{"date-parts":[["2009"]]},"page":"27-46","title":"Supply chain process integration: A theoretical framework","type":"article-journal","volume":"30"},"uris":["http://www.mendeley.com/documents/?uuid=2d476b64-0a43-4d76-834c-cf4f7b9d46ec"]}],"mendeley":{"formattedCitation":"(Chen, Daugherty and Landry, 2009)","plainTextFormattedCitation":"(Chen, Daugherty and Landry, 2009)","previouslyFormattedCitation":"(Chen, Daugherty and Landry, 2009)"},"properties":{"noteIndex":0},"schema":"https://github.com/citation-style-language/schema/raw/master/csl-citation.json"}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(Chen, Daugherty and Landry, 2009)</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Process improvements should be measured in the context of the evaluation of customer’s satisfaction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{"citationItems":[{"id":"ITEM-1","itemData":{"ISBN":"14783363","ISSN":"1478-3363","PMID":"47658078","abstract":"With the rapidly growing development of electronic commerce, global competition and changing customer needs, traditional business operating strategies have totally changed. Companies have to reconsider and re-engineer their business processes for customer satisfaction, and the efficiency of production and services from the viewpoint of customer relationship management. In this research, the authors discuss the relationship of information technology (IT), organisational contingency, business process re-engineering and organisation performance in the Taiwanese manufacturing industry. The 800 companies surveyed in this study belong to Taiwan's manufacturing industry and are listed on the Taiwan Stock Exchange 2005. Using canonical correlation tests and a multi-regression approach, the results present a significant positive relationship between organisation performance and the factors of IT-route integration, information sharing, supply chain integration, decentralisation and coordination, and business extension. The results show a positive interaction between IT and organisational contingency; and IT and business process, organisational contingency and business process. [ABSTRACT FROM AUTHOR] Copyright of Total Quality Management &amp; Business Excellence is the property of Routledge and its content may not be copied or emailed to multiple sites or posted to a listserv without the copyright holder's express written permission. However, users may print, download, or email articles for individual use. This abstract may be abridged. No warranty is given about the accuracy of the copy. Users should refer to the original published version of the material for the full abstract. (Copyright applies to all Abstracts.)","author":[{"dropping-particle":"","family":"Lee","given":"Chao-Hsiung","non-dropping-particle":"","parse-names":false,"suffix":""},{"dropping-particle":"","family":"Huang","given":"Shaio Yan","non-dropping-particle":"","parse-names":false,"suffix":""},{"dropping-particle":"","family":"Barnes","given":"F. Barry","non-dropping-particle":"","parse-names":false,"suffix":""},{"dropping-particle":"","family":"Kao","given":"Li","non-dropping-particle":"","parse-names":false,"suffix":""}],"container-title":"Total Quality Management &amp; Business Excellence","id":"ITEM-1","issue":"1","issued":{"date-parts":[["2010"]]},"page":"43-65","title":"Business performance and customer relationship management: The effect of IT, organisational contingency and business process on Taiwanese manufacturers","type":"article-journal","volume":"21"},"uris":["http://www.mendeley.com/documents/?uuid=23f9c999-ca69-443d-8436-1c53102dad17"]}],"mendeley":{"formattedCitation":"(Lee &lt;i&gt;et al.&lt;/i&gt;, 2010)","plainTextFormattedCitation":"(Lee et al., 2010)","previouslyFormattedCitation":"(Lee &lt;i&gt;et al.&lt;/i&gt;, 2010)"},"properties":{"noteIndex":0},"schema":"https://github.com/citation-style-language/schema/raw/master/csl-citation.json"}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 xml:space="preserve">(Lee </w:t>
      </w:r>
      <w:r w:rsidRPr="002A63BA">
        <w:rPr>
          <w:rFonts w:ascii="Open Sans" w:hAnsi="Open Sans" w:cs="Open Sans"/>
          <w:i/>
          <w:noProof/>
          <w:color w:val="000000" w:themeColor="text1"/>
        </w:rPr>
        <w:t>et al.</w:t>
      </w:r>
      <w:r w:rsidRPr="002A63BA">
        <w:rPr>
          <w:rFonts w:ascii="Open Sans" w:hAnsi="Open Sans" w:cs="Open Sans"/>
          <w:noProof/>
          <w:color w:val="000000" w:themeColor="text1"/>
        </w:rPr>
        <w:t>, 2010)</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By monitoring the performance of internal processes and external experiences, priorities for optimizing those processes that have a significant impact on customer’s experience can be established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{"citationItems":[{"id":"ITEM-1","itemData":{"author":[{"dropping-particle":"","family":"Ruland","given":"Yves","non-dropping-particle":"","parse-names":false,"suffix":""}],"container-title":"Master thesis - FACULTEIT BEDRIJFSECONOMISCHE WETENSCHAPPEN","id":"ITEM-1","issued":{"date-parts":[["2016"]]},"page":"85","title":"Customer experience and its potential to extend business process management","type":"article-journal"},"uris":["http://www.mendeley.com/documents/?uuid=a5879863-dffc-411b-982b-8c461476f10e"]}],"mendeley":{"formattedCitation":"(Ruland, 2016)","plainTextFormattedCitation":"(Ruland, 2016)","previouslyFormattedCitation":"(Ruland, 2016)"},"properties":{"noteIndex":0},"schema":"https://github.com/citation-style-language/schema/raw/master/csl-citation.json"}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(Ruland, 2016)</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That way, the root causes for increasing or decreasing customer’s satisfaction could be explained through how internal processes are defined or performing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{"citationItems":[{"id":"ITEM-1","itemData":{"ISBN":"978-3-642-00415-5","ISSN":"00099147","PMID":"10545081","abstract":"Googling the term Business Process Management in May 2008 yields some 6.4 million hits, the great majority of which (based on sampling) seem to concern the so-called BPM software systems. This is ironic and unfortunate, because in fact IT in general, and such BPM systems in particular, is at most a peripheral aspect of Business Process Management. In fact, Business Process Management (BPM) is a comprehensive system for managing and transforming organizational operations, based on what is arguably the first set of new ideas about organizational performance since the Industrial Revolution.","author":[{"dropping-particle":"","family":"Brocke","given":"Jan","non-dropping-particle":"vom","parse-names":false,"suffix":""},{"dropping-particle":"","family":"Rosemann","given":"Michael","non-dropping-particle":"","parse-names":false,"suffix":""}],"container-title":"Handbook on Business Process Management 1","editor":[{"dropping-particle":"","family":"Brocke","given":"Jan","non-dropping-particle":"Vom","parse-names":false,"suffix":""},{"dropping-particle":"","family":"Rosemann","given":"Michael","non-dropping-particle":"","parse-names":false,"suffix":""}],"id":"ITEM-1","issued":{"date-parts":[["2010"]]},"page":"622","publisher":"Springer Heidelberg Dordrecht London New York","title":"The Six Core Elements of Business Process Management","type":"chapter"},"uris":["http://www.mendeley.com/documents/?uuid=9fe764d0-e352-4fd4-b16e-7ae3dc36109b"]}],"mendeley":{"formattedCitation":"(vom Brocke and Rosemann, 2010)","plainTextFormattedCitation":"(vom Brocke and Rosemann, 2010)","previouslyFormattedCitation":"(vom Brocke and Rosemann, 2010)"},"properties":{"noteIndex":0},"schema":"https://github.com/citation-style-language/schema/raw/master/csl-citation.json"}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(vom Brocke and Rosemann, 2010)</w:t>
      </w:r>
      <w:r w:rsidRPr="002A63BA">
        <w:rPr>
          <w:rFonts w:ascii="Open Sans" w:hAnsi="Open Sans" w:cs="Open Sans"/>
          <w:color w:val="000000" w:themeColor="text1"/>
        </w:rPr>
        <w:fldChar w:fldCharType="end"/>
      </w:r>
      <w:r w:rsidRPr="002A63BA">
        <w:rPr>
          <w:rFonts w:ascii="Open Sans" w:hAnsi="Open Sans" w:cs="Open Sans"/>
          <w:color w:val="000000" w:themeColor="text1"/>
        </w:rPr>
        <w:t>.</w:t>
      </w:r>
    </w:p>
    <w:p w14:paraId="602F9B7D" w14:textId="77777777" w:rsidR="00AE101A" w:rsidRPr="006F0B57" w:rsidRDefault="00AE101A" w:rsidP="00FF3EE4">
      <w:pPr>
        <w:pStyle w:val="N1"/>
      </w:pPr>
      <w:r w:rsidRPr="006F0B57">
        <w:t xml:space="preserve">BPM-CXM CONVERGENCE THEORETICAL MODEL </w:t>
      </w:r>
    </w:p>
    <w:p w14:paraId="1D6CED78"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Process design and business process management were recognized as one of the main factors of achieving customer satisfaction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0951354101106","ISSN":"1368-3047","author":[{"dropping-particle":"","family":"Scheer","given":"A.W.","non-dropping-particle":"","parse-names":false,"suffix":""},{"dropping-particle":"","family":"Jost","given":"W.","non-dropping-particle":"","parse-names":false,"suffix":""},{"dropping-particle":"","family":"Heß","given":"H.","non-dropping-particle":"","parse-names":false,"suffix":""},{"dropping-particle":"","family":"Kronz","given":"A.","non-dropping-particle":"","parse-names":false,"suffix":""}],"id":"ITEM-1","issued":{"date-parts":[["2005"]]},"publisher":"Springer-Verlag Berlin Heidelberg","title":"Corporate performance management","type":"book"},"uris":["http://www.mendeley.com/documents/?uuid=a4c3749a-e87c-4d54-a112-aac748da7f8c"]},{"id":"ITEM-2","itemData":{"ISBN":"0887604021","ISSN":"0956-4233","abstract":"Purpose - The purpose of this paper is to further investigate the linkages between business process management (BPM) and customer satisfaction. Also, to challenge the dominance of the customer contact perspectives on service processes and to propose a more systemic focus on the totality of service design. Design/methodology/approach - The research builds on the existing work of Maddern et al through the use of structured equation modelling (SEW tool. The multiple SEM models described here provide a more robust statistical approach for confirming/refuting the constructs found in the earlier research. Findings - This paper presents the results of an empirical analysis, based on longitudinal data from a large UK bank on drivers of customer satisfaction. The results confirm that process management is a critical driver of technical service quality. This suggests that companies with reliability/dependability issues should not emphasise customer satisfaction programmes based on SERVQUAL intangibles until substantial improvements in process design have been achieved. Research limitations/implications - The research is limited to a single case study of a UK bank over a five year period. The generalisibility of these findings is therefore limited. Further work in other sectors and over longer periods would establish the reliability of the findings. The paper also highlights some limitations in the service operations literature, particularly the emphasis on customer presence within the service process. Originality/value - The paper uses time series data to identify the importance of BPM in achieving higher levels of customer satisfaction. The authors provide a platform for further research based on the design of service delivery systems and their impact on customer satisfaction.","author":[{"dropping-particle":"","family":"Kumar","given":"V.","non-dropping-particle":"","parse-names":false,"suffix":""},{"dropping-particle":"","family":"Smart","given":"P.a.","non-dropping-particle":"","parse-names":false,"suffix":""},{"dropping-particle":"","family":"Maddern","given":"H.","non-dropping-particle":"","parse-names":false,"suffix":""},{"dropping-particle":"","family":"Maull","given":"R.S.","non-dropping-particle":"","parse-names":false,"suffix":""}],"container-title":"International Journal of Service Industry Management","id":"ITEM-2","issue":"2","issued":{"date-parts":[["2008"]]},"page":"176-187","title":"Alternative perspectives on service quality and customer satisfaction: the role of BPM","type":"article-journal","volume":"19"},"uris":["http://www.mendeley.com/documents/?uuid=0c46ba11-c028-44bc-a6ce-49283625b15d"]}],"mendeley":{"formattedCitation":"(Scheer &lt;i&gt;et al.&lt;/i&gt;, 2005; Kumar &lt;i&gt;et al.&lt;/i&gt;, 2008)","plainTextFormattedCitation":"(Scheer et al., 2005; Kumar et al., 2008)","previouslyFormattedCitation":"(Scheer &lt;i&gt;et al.&lt;/i&gt;, 2005; Kumar &lt;i&gt;et al.&lt;/i&gt;, 2008)"},"properties":{"noteIndex":0},"schema":"https://github.com/citation-style-language/schema/raw/master/csl-citation.json"}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(Scheer et al., 2005; Kumar et al., 2008)</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Customer experience management can be perceived through individual phases and activities of the business process management lifecycle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{"citationItems":[{"id":"ITEM-1","itemData":{"author":[{"dropping-particle":"","family":"Ruland","given":"Yves","non-dropping-particle":"","parse-names":false,"suffix":""}],"container-title":"Master thesis - FACULTEIT BEDRIJFSECONOMISCHE WETENSCHAPPEN","id":"ITEM-1","issued":{"date-parts":[["2016"]]},"page":"85","title":"Customer experience and its potential to extend business process management","type":"article-journal"},"uris":["http://www.mendeley.com/documents/?uuid=a5879863-dffc-411b-982b-8c461476f10e"]}],"mendeley":{"formattedCitation":"(Ruland, 2016)","plainTextFormattedCitation":"(Ruland, 2016)","previouslyFormattedCitation":"(Ruland, 2016)"},"properties":{"noteIndex":0},"schema":"https://github.com/citation-style-language/schema/raw/master/csl-citation.json"}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(Ruland, 2016)</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According to that, in order to enable customer’s experience optimization, modelling of customer experience or journeys should be incorporated within the business process management systems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{"citationItems":[{"id":"ITEM-1","itemData":{"DOI":"10.1016/j.promfg.2019.02.261","ISSN":"23519789","abstract":"Digitization has subjected nowadays business models to dramatic changes. This commitment to innovation forced even the giants of technology to shift and adapt their own business models (e.g. Google developed a rival social network for Facebook, and a cloud file-storage in order to propose an inexpensive version of Dropbox or One Drive, Microsoft developed an online version of Microsoft Office). Organization's agility must be embedded in companies' strategies to survive in a market where everything changes with a tremendous quickness. Customer journey mapping, embedded with business process management systems, can assure an improved digital customer experience. Design thinking, a methodology used by several high-tech companies like Apple and IBM, helps the designers to better understand customers' needs in order to provide desirable solutions. This paper proposes a new approach of generating customer traces from information systems like CRMS to improve customer experience. A germane fact is that companies should use state of the art methods and techniques to better understand customers' needs and Process Mining algorithms are among the most suitable solutions for this type of analysis.","author":[{"dropping-particle":"","family":"Osman","given":"Cristina Claudia","non-dropping-particle":"","parse-names":false,"suffix":""},{"dropping-particle":"","family":"Ghiran","given":"Ana Maria","non-dropping-particle":"","parse-names":false,"suffix":""}],"container-title":"Procedia Manufacturing","id":"ITEM-1","issued":{"date-parts":[["2019"]]},"page":"619-626","publisher":"Elsevier B.V.","title":"Extracting Customer Traces from CRMS: From Software to Process Models","type":"article-journal","volume":"32"},"uris":["http://www.mendeley.com/documents/?uuid=679eb67f-3dd0-47b8-ba8e-b882f1ea93e8"]}],"mendeley":{"formattedCitation":"(Osman and Ghiran, 2019)","plainTextFormattedCitation":"(Osman and Ghiran, 2019)","previouslyFormattedCitation":"(Osman and Ghiran, 2019)"},"properties":{"noteIndex":0},"schema":"https://github.com/citation-style-language/schema/raw/master/csl-citation.json"}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(Osman and Ghiran, 2019)</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This is very relevant in the context of smart cities, where redesign of current processes and organizational units is necessary in order to use technological advantages and serve citizens in a more efficient way.</w:t>
      </w:r>
    </w:p>
    <w:p w14:paraId="76DECD03"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lastRenderedPageBreak/>
        <w:t xml:space="preserve">A high-level concept of BPM-CXM convergence model structured around the BPM lifecycle is presented on </w:t>
      </w:r>
      <w:r w:rsidRPr="002A63BA">
        <w:rPr>
          <w:rFonts w:ascii="Open Sans" w:eastAsia="Calibri" w:hAnsi="Open Sans" w:cs="Open Sans"/>
          <w:i/>
          <w:color w:val="000000" w:themeColor="text1"/>
          <w:shd w:val="clear" w:color="auto" w:fill="FFFFFF"/>
          <w:lang w:eastAsia="en-GB"/>
        </w:rPr>
        <w:t>Fig 1</w:t>
      </w:r>
      <w:r w:rsidRPr="002A63BA">
        <w:rPr>
          <w:rFonts w:ascii="Open Sans" w:eastAsia="Calibri" w:hAnsi="Open Sans" w:cs="Open Sans"/>
          <w:iCs/>
          <w:color w:val="000000" w:themeColor="text1"/>
          <w:shd w:val="clear" w:color="auto" w:fill="FFFFFF"/>
          <w:lang w:eastAsia="en-GB"/>
        </w:rPr>
        <w:t xml:space="preserve">. BPM-CXM convergence model should be used as the main starting point for process and citizen experience analysis discussions for transitioning to smart cities, as it is structured in a way that would facilitate the integrated analysis of customer experience and internal business processes. Model proposes that the customer experience is designed and analyzed by using customer journey mapping, which is used as an input for strategic identification of processes for initiating process redesign (BPM) initiatives </w:t>
      </w:r>
      <w:r w:rsidRPr="002A63BA">
        <w:rPr>
          <w:rFonts w:ascii="Open Sans" w:eastAsia="Calibri" w:hAnsi="Open Sans" w:cs="Open Sans"/>
          <w:iCs/>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{"citationItems":[{"id":"ITEM-1","itemData":{"author":[{"dropping-particle":"","family":"Davis","given":"Rob","non-dropping-particle":"","parse-names":false,"suffix":""}],"container-title":"A BPTrends Column","id":"ITEM-1","issued":{"date-parts":[["2011"]]},"page":"1-5","title":"It’s the Customer Journey That Counts","type":"article-journal"},"uris":["http://www.mendeley.com/documents/?uuid=dae5072c-7e2d-4349-9acd-bd795706587e"]},{"id":"ITEM-2","itemData":{"ISSN":"2363-7005","abstract":"The redesign of business processes has a huge potential in terms of reducing costs and throughput times, as well as improving customer satisfaction. Despite rapid developments in the business process management discipline during the last decade, a comprehensive overview of the options to methodologically support a team to move from as-is process insights to to-be process alternatives is lacking. As such, no safeguard exists that a systematic exploration of the full range of redesign possibilities takes place by practitioners. Consequently, many attractive redesign possibilities remain unidentified and the improvement potential of redesign initiatives is not ful- filled. This systematic literature review establishes a comprehensive methodological framework, which serves as a catalog for process improvement use cases. The framework contains an overview of all the method options regarding the generation of process improvement ideas. This is established by identifying six key methodological decision areas, e.g. the human actors who can be invited to generate these ideas or the information that can be collected prior to this act. This framework enables practitioners to compose a well-considered method to generate process improvement ideas themselves. Based on a critical evaluation of the framework, the authors also offer recommendations that support academic researchers in grounding and improving methods for generating process improvement ideas. Next to the framework and its critical evaluation, this review investigates the research procedures of the studies that were used to create the framework. Related to this investigation, academic researchers can find additional guidance regarding procedures for building and evaluating new methods.","author":[{"dropping-particle":"","family":"Vanwersch","given":"Rob J. B.","non-dropping-particle":"","parse-names":false,"suffix":""},{"dropping-particle":"","family":"Shahzad","given":"Khurram","non-dropping-particle":"","parse-names":false,"suffix":""},{"dropping-particle":"","family":"Vanderfeesten","given":"Irene","non-dropping-particle":"","parse-names":false,"suffix":""},{"dropping-particle":"","family":"Vanhaecht","given":"Kris","non-dropping-particle":"","parse-names":false,"suffix":""},{"dropping-particle":"","family":"Grefen","given":"Paul","non-dropping-particle":"","parse-names":false,"suffix":""},{"dropping-particle":"","family":"Pintelon","given":"Liliane","non-dropping-particle":"","parse-names":false,"suffix":""},{"dropping-particle":"","family":"Mendling","given":"Jan","non-dropping-particle":"","parse-names":false,"suffix":""},{"dropping-particle":"","family":"Merode","given":"Godefridus G.","non-dropping-particle":"Van","parse-names":false,"suffix":""},{"dropping-particle":"","family":"Reijers","given":"Hajo a.","non-dropping-particle":"","parse-names":false,"suffix":""}],"container-title":"Business &amp; Information Systems Engineering","id":"ITEM-2","issue":"1","issued":{"date-parts":[["2015"]]},"page":"1-11","publisher":"Springer Fachmedien Wiesbaden","title":"A Critical Evaluation and Framework of Business Process Improvement Methods","type":"article-journal","volume":"58"},"uris":["http://www.mendeley.com/documents/?uuid=058f9e60-3803-48e1-a868-b22f16a0633b"]},{"id":"ITEM-3","itemData":{"abstract":"Enterprises based on a traditional, internally oriented business model consider their available resources as a starting point for determining their service offerings. However, in a world of changing customer behavior, emerging online service providers and ongoing technological advances an internal focus is no longer sufficient. The idea that customer needs should be the starting-point for designing business models becomes increaseingly accepted. This paradigm shift towards a customer-centric perspective opens up a highly relevant field of research. In this paper we present a research agenda which contributes to the development of approaches for the identification of customer needs and for the setup of customer-centric business models. The agenda is structured along three major research questions in this field. For each of these we develop first directions of multi-disciplinary research.","author":[{"dropping-particle":"","family":"Moormann","given":"Jürgen","non-dropping-particle":"","parse-names":false,"suffix":""},{"dropping-particle":"","family":"Palvolgyi","given":"Elisabeth Z.","non-dropping-particle":"","parse-names":false,"suffix":""}],"container-title":"2013 IEEE 15th Conference on Business Informatics","id":"ITEM-3","issued":{"date-parts":[["2013"]]},"page":"173-179","title":"Customer-Centric Business Modeling: Setting a Research Agenda","type":"article-journal"},"uris":["http://www.mendeley.com/documents/?uuid=ccdb7abd-a9c7-4753-a8d3-01fc17e22306"]},{"id":"ITEM-4","itemData":{"ISBN":"8621588552","author":[{"dropping-particle":"","family":"Flint","given":"Daniel J","non-dropping-particle":"","parse-names":false,"suffix":""},{"dropping-particle":"","family":"Larsson","given":"Everth","non-dropping-particle":"","parse-names":false,"suffix":""},{"dropping-particle":"","family":"Gammelgaard","given":"Britta","non-dropping-particle":"","parse-names":false,"suffix":""},{"dropping-particle":"","family":"Mentzer","given":"John T","non-dropping-particle":"","parse-names":false,"suffix":""}],"container-title":"Journal of Business Logistics","id":"ITEM-4","issue":"1","issued":{"date-parts":[["2005"]]},"page":"113-147","title":"Logistics innovation: A customer value-oriented social process","type":"article-journal","volume":"26"},"uris":["http://www.mendeley.com/documents/?uuid=2a094ba1-ae42-440f-82df-77259ca8be4d"]},{"id":"ITEM-5","itemData":{"ISBN":"07353766","ISSN":"07353766","PMID":"212592919","abstract":"The current study was undertaken to further understanding of supply chain process integration. It is suggested that supply chain integration, the practice of realigning firms' operating structures, should be understood from an internal-external perspective and a process view. Drawing upon four theories-Strategy-Structure-Performance framework, the resource based view of the firm, transaction cost economics, and social network analysis-and combining industry inputs, a theoretical framework of supply chain process integration is developed. It is argued that a firm's strategic priorities are key factors of supply chain process integration. Superior performance is likely to be achieved when necessary supply chain capabilities are developed through supply chain process integration.","author":[{"dropping-particle":"","family":"Chen","given":"Haozhe","non-dropping-particle":"","parse-names":false,"suffix":""},{"dropping-particle":"","family":"Daugherty","given":"Patricia J.","non-dropping-particle":"","parse-names":false,"suffix":""},{"dropping-particle":"","family":"Landry","given":"Timothy D.","non-dropping-particle":"","parse-names":false,"suffix":""}],"container-title":"Journal of Business Logistics","id":"ITEM-5","issue":"2","issued":{"date-parts":[["2009"]]},"page":"27-46","title":"Supply chain process integration: A theoretical framework","type":"article-journal","volume":"30"},"uris":["http://www.mendeley.com/documents/?uuid=2d476b64-0a43-4d76-834c-cf4f7b9d46ec"]},{"id":"ITEM-6","itemData":{"ISBN":"14783363","ISSN":"1478-3363","PMID":"47658078","abstract":"With the rapidly growing development of electronic commerce, global competition and changing customer needs, traditional business operating strategies have totally changed. Companies have to reconsider and re-engineer their business processes for customer satisfaction, and the efficiency of production and services from the viewpoint of customer relationship management. In this research, the authors discuss the relationship of information technology (IT), organisational contingency, business process re-engineering and organisation performance in the Taiwanese manufacturing industry. The 800 companies surveyed in this study belong to Taiwan's manufacturing industry and are listed on the Taiwan Stock Exchange 2005. Using canonical correlation tests and a multi-regression approach, the results present a significant positive relationship between organisation performance and the factors of IT-route integration, information sharing, supply chain integration, decentralisation and coordination, and business extension. The results show a positive interaction between IT and organisational contingency; and IT and business process, organisational contingency and business process. [ABSTRACT FROM AUTHOR] Copyright of Total Quality Management &amp; Business Excellence is the property of Routledge and its content may not be copied or emailed to multiple sites or posted to a listserv without the copyright holder's express written permission. However, users may print, download, or email articles for individual use. This abstract may be abridged. No warranty is given about the accuracy of the copy. Users should refer to the original published version of the material for the full abstract. (Copyright applies to all Abstracts.)","author":[{"dropping-particle":"","family":"Lee","given":"Chao-Hsiung","non-dropping-particle":"","parse-names":false,"suffix":""},{"dropping-particle":"","family":"Huang","given":"Shaio Yan","non-dropping-particle":"","parse-names":false,"suffix":""},{"dropping-particle":"","family":"Barnes","given":"F. Barry","non-dropping-particle":"","parse-names":false,"suffix":""},{"dropping-particle":"","family":"Kao","given":"Li","non-dropping-particle":"","parse-names":false,"suffix":""}],"container-title":"Total Quality Management &amp; Business Excellence","id":"ITEM-6","issue":"1","issued":{"date-parts":[["2010"]]},"page":"43-65","title":"Business performance and customer relationship management: The effect of IT, organisational contingency and business process on Taiwanese manufacturers","type":"article-journal","volume":"21"},"uris":["http://www.mendeley.com/documents/?uuid=23f9c999-ca69-443d-8436-1c53102dad17"]}],"mendeley":{"formattedCitation":"(Flint &lt;i&gt;et al.&lt;/i&gt;, 2005; Chen, Daugherty and Landry, 2009; Lee &lt;i&gt;et al.&lt;/i&gt;, 2010; Davis, 2011; Moormann and Palvolgyi, 2013; Vanwersch &lt;i&gt;et al.&lt;/i&gt;, 2015)","plainTextFormattedCitation":"(Flint et al., 2005; Chen, Daugherty and Landry, 2009; Lee et al., 2010; Davis, 2011; Moormann and Palvolgyi, 2013; Vanwersch et al., 2015)","previouslyFormattedCitation":"(Flint &lt;i&gt;et al.&lt;/i&gt;, 2005; Chen, Daugherty and Landry, 2009; Lee &lt;i&gt;et al.&lt;/i&gt;, 2010; Davis, 2011; Moormann and Palvolgyi, 2013; Vanwersch &lt;i&gt;et al.&lt;/i&gt;, 2015)"},"properties":{"noteIndex":0},"schema":"https://github.com/citation-style-language/schema/raw/master/csl-citation.json"}</w:instrText>
      </w:r>
      <w:r w:rsidRPr="002A63BA">
        <w:rPr>
          <w:rFonts w:ascii="Open Sans" w:eastAsia="Calibri" w:hAnsi="Open Sans" w:cs="Open Sans"/>
          <w:iCs/>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(Flint et al., 2005; Chen, Daugherty and Landry, 2009; Lee et al., 2010; Davis, 2011; Moormann and Palvolgyi, 2013; Vanwersch et al., 2015)</w:t>
      </w:r>
      <w:r w:rsidRPr="002A63BA">
        <w:rPr>
          <w:rFonts w:ascii="Open Sans" w:eastAsia="Calibri" w:hAnsi="Open Sans" w:cs="Open Sans"/>
          <w:iCs/>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The approach reflects the way customer experience can be perceived and analyzed through the whole process management lifecycle </w:t>
      </w:r>
      <w:r w:rsidRPr="002A63BA">
        <w:rPr>
          <w:rFonts w:ascii="Open Sans" w:eastAsia="Calibri" w:hAnsi="Open Sans" w:cs="Open Sans"/>
          <w:iCs/>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{"citationItems":[{"id":"ITEM-1","itemData":{"author":[{"dropping-particle":"","family":"Ruland","given":"Yves","non-dropping-particle":"","parse-names":false,"suffix":""}],"container-title":"Master thesis - FACULTEIT BEDRIJFSECONOMISCHE WETENSCHAPPEN","id":"ITEM-1","issued":{"date-parts":[["2016"]]},"page":"85","title":"Customer experience and its potential to extend business process management","type":"article-journal"},"uris":["http://www.mendeley.com/documents/?uuid=a5879863-dffc-411b-982b-8c461476f10e"]}],"mendeley":{"formattedCitation":"(Ruland, 2016)","plainTextFormattedCitation":"(Ruland, 2016)","previouslyFormattedCitation":"(Ruland, 2016)"},"properties":{"noteIndex":0},"schema":"https://github.com/citation-style-language/schema/raw/master/csl-citation.json"}</w:instrText>
      </w:r>
      <w:r w:rsidRPr="002A63BA">
        <w:rPr>
          <w:rFonts w:ascii="Open Sans" w:eastAsia="Calibri" w:hAnsi="Open Sans" w:cs="Open Sans"/>
          <w:iCs/>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(Ruland, 2016)</w:t>
      </w:r>
      <w:r w:rsidRPr="002A63BA">
        <w:rPr>
          <w:rFonts w:ascii="Open Sans" w:eastAsia="Calibri" w:hAnsi="Open Sans" w:cs="Open Sans"/>
          <w:iCs/>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It supports the emphasis on the analysis of touchpoints between the internal organization and the external customers, while using the proven best practices from both management of business processes as well as customer experience.</w:t>
      </w:r>
    </w:p>
    <w:p w14:paraId="5C6BE3AD" w14:textId="77777777" w:rsidR="00AE101A" w:rsidRPr="002A63BA" w:rsidRDefault="00AE101A" w:rsidP="00FF3EE4">
      <w:pPr>
        <w:spacing w:before="120" w:after="240" w:line="276" w:lineRule="auto"/>
        <w:contextualSpacing/>
        <w:rPr>
          <w:rFonts w:ascii="Open Sans" w:hAnsi="Open Sans" w:cs="Open Sans"/>
          <w:color w:val="000000" w:themeColor="text1"/>
        </w:rPr>
      </w:pPr>
    </w:p>
    <w:p w14:paraId="320A39CB"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lastRenderedPageBreak/>
        <w:drawing>
          <wp:inline distT="0" distB="0" distL="0" distR="0" wp14:anchorId="69899A09" wp14:editId="411C5BFB">
            <wp:extent cx="4391681" cy="4772025"/>
            <wp:effectExtent l="0" t="0" r="8890" b="0"/>
            <wp:docPr id="1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rotWithShape="1">
                    <a:blip r:embed="rId36" cstate="screen">
                      <a:extLst>
                        <a:ext uri="{28A0092B-C50C-407E-A947-70E740481C1C}">
                          <a14:useLocalDpi xmlns:a14="http://schemas.microsoft.com/office/drawing/2010/main"/>
                        </a:ext>
                      </a:extLst>
                    </a:blip>
                    <a:srcRect/>
                    <a:stretch/>
                  </pic:blipFill>
                  <pic:spPr bwMode="auto">
                    <a:xfrm>
                      <a:off x="0" y="0"/>
                      <a:ext cx="4583450" cy="4980402"/>
                    </a:xfrm>
                    <a:prstGeom prst="rect">
                      <a:avLst/>
                    </a:prstGeom>
                    <a:ln>
                      <a:noFill/>
                    </a:ln>
                    <a:extLst>
                      <a:ext uri="{53640926-AAD7-44D8-BBD7-CCE9431645EC}">
                        <a14:shadowObscured xmlns:a14="http://schemas.microsoft.com/office/drawing/2010/main"/>
                      </a:ext>
                    </a:extLst>
                  </pic:spPr>
                </pic:pic>
              </a:graphicData>
            </a:graphic>
          </wp:inline>
        </w:drawing>
      </w:r>
    </w:p>
    <w:p w14:paraId="4D57E155"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1. </w:t>
      </w:r>
      <w:r w:rsidRPr="002A63BA">
        <w:rPr>
          <w:rFonts w:ascii="Open Sans" w:hAnsi="Open Sans" w:cs="Open Sans"/>
          <w:i/>
          <w:iCs/>
          <w:color w:val="000000" w:themeColor="text1"/>
        </w:rPr>
        <w:t xml:space="preserve">BPM-CXM convergence model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r w:rsidRPr="002A63BA">
        <w:rPr>
          <w:rFonts w:ascii="Open Sans" w:hAnsi="Open Sans" w:cs="Open Sans"/>
          <w:i/>
          <w:iCs/>
          <w:color w:val="000000" w:themeColor="text1"/>
        </w:rPr>
        <w:t xml:space="preserve"> (based on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9783642331435","author":[{"dropping-particle":"","family":"Dumas","given":"Marlon","non-dropping-particle":"","parse-names":false,"suffix":""},{"dropping-particle":"","family":"Rosa","given":"Marcello","non-dropping-particle":"La","parse-names":false,"suffix":""},{"dropping-particle":"","family":"Mendling","given":"Jan","non-dropping-particle":"","parse-names":false,"suffix":""},{"dropping-particle":"","family":"Reijers","given":"Hajo A.","non-dropping-particle":"","parse-names":false,"suffix":""}],"id":"ITEM-1","issued":{"date-parts":[["2018"]]},"number-of-pages":"399","publisher":"Springer-Verlag Berlin Heidelberg","publisher-place":"Berlin","title":"Fundamentals of business process management","type":"book"},"uris":["http://www.mendeley.com/documents/?uuid=241a7486-9f2f-494e-9cbd-577ad801f1ac"]}],"mendeley":{"formattedCitation":"(Dumas &lt;i&gt;et al.&lt;/i&gt;, 2018)","plainTextFormattedCitation":"(Dumas et al., 2018)","previouslyFormattedCitation":"(Dumas &lt;i&gt;et al.&lt;/i&gt;, 2018)"},"properties":{"noteIndex":0},"schema":"https://github.com/citation-style-language/schema/raw/master/csl-citation.json"}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
          <w:iCs/>
          <w:noProof/>
          <w:color w:val="000000" w:themeColor="text1"/>
        </w:rPr>
        <w:t>(Dumas et al., 2018)</w:t>
      </w:r>
      <w:r w:rsidRPr="002A63BA">
        <w:rPr>
          <w:rFonts w:ascii="Open Sans" w:hAnsi="Open Sans" w:cs="Open Sans"/>
          <w:i/>
          <w:iCs/>
          <w:color w:val="000000" w:themeColor="text1"/>
        </w:rPr>
        <w:fldChar w:fldCharType="end"/>
      </w:r>
      <w:r w:rsidRPr="002A63BA">
        <w:rPr>
          <w:rFonts w:ascii="Open Sans" w:hAnsi="Open Sans" w:cs="Open Sans"/>
          <w:i/>
          <w:iCs/>
          <w:color w:val="000000" w:themeColor="text1"/>
        </w:rPr>
        <w:t>)</w:t>
      </w:r>
    </w:p>
    <w:p w14:paraId="3F6C69BF"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Other than the identification of the internal processes, BPM-CXM convergent approach proposes the identification of the processes related to the customers external to the organization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{"citationItems":[{"id":"ITEM-1","itemData":{"author":[{"dropping-particle":"","family":"Ruland","given":"Yves","non-dropping-particle":"","parse-names":false,"suffix":""}],"container-title":"Master thesis - FACULTEIT BEDRIJFSECONOMISCHE WETENSCHAPPEN","id":"ITEM-1","issued":{"date-parts":[["2016"]]},"page":"85","title":"Customer experience and its potential to extend business process management","type":"article-journal"},"uris":["http://www.mendeley.com/documents/?uuid=a5879863-dffc-411b-982b-8c461476f10e"]}],"mendeley":{"formattedCitation":"(Ruland, 2016)","plainTextFormattedCitation":"(Ruland, 2016)","previouslyFormattedCitation":"(Ruland, 2016)"},"properties":{"noteIndex":0},"schema":"https://github.com/citation-style-language/schema/raw/master/csl-citation.json"}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(Ruland, 2016)</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This is a prerequisite for a joint analysis within the further steps of the methodology. Compared to the traditional process and experience management methods, the convergent approach imposes a number of adjustments, which are briefly outlined below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{"citationItems":[{"id":"ITEM-1","itemData":{"author":[{"dropping-particle":"","family":"Pavlic","given":"Dino","non-dropping-particle":"","parse-names":false,"suffix":""}],"id":"ITEM-1","issued":{"date-parts":[["2021"]]},"number-of-pages":"244","publisher":"Faculty of Economics, University of Split","title":"Business Process Management and Customer Experience Management Convergence Model","type":"thesis"},"uris":["http://www.mendeley.com/documents/?uuid=cfc6f5b7-96ed-46e9-a1df-7ebaeec2cde0"]}],"mendeley":{"formattedCitation":"(Pavlic, 2021)","plainTextFormattedCitation":"(Pavlic, 2021)","previouslyFormattedCitation":"(Pavlic, 2021)"},"properties":{"noteIndex":0},"schema":"https://github.com/citation-style-language/schema/raw/master/csl-citation.json"}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(Pavlic, 2021)</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w:t>
      </w:r>
    </w:p>
    <w:p w14:paraId="3D21A57F"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lastRenderedPageBreak/>
        <w:t xml:space="preserve">Organizations should have an insight into how satisfied their customers are with services provided, as well as how well the internal processes are performing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{"citationItems":[{"id":"ITEM-1","itemData":{"ISBN":"8621588552","author":[{"dropping-particle":"","family":"Flint","given":"Daniel J","non-dropping-particle":"","parse-names":false,"suffix":""},{"dropping-particle":"","family":"Larsson","given":"Everth","non-dropping-particle":"","parse-names":false,"suffix":""},{"dropping-particle":"","family":"Gammelgaard","given":"Britta","non-dropping-particle":"","parse-names":false,"suffix":""},{"dropping-particle":"","family":"Mentzer","given":"John T","non-dropping-particle":"","parse-names":false,"suffix":""}],"container-title":"Journal of Business Logistics","id":"ITEM-1","issue":"1","issued":{"date-parts":[["2005"]]},"page":"113-147","title":"Logistics innovation: A customer value-oriented social process","type":"article-journal","volume":"26"},"uris":["http://www.mendeley.com/documents/?uuid=2a094ba1-ae42-440f-82df-77259ca8be4d"]}],"mendeley":{"formattedCitation":"(Flint &lt;i&gt;et al.&lt;/i&gt;, 2005)","plainTextFormattedCitation":"(Flint et al., 2005)","previouslyFormattedCitation":"(Flint &lt;i&gt;et al.&lt;/i&gt;, 2005)"},"properties":{"noteIndex":0},"schema":"https://github.com/citation-style-language/schema/raw/master/csl-citation.json"}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(Flint et al., 2005)</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Priorities for the redesign in the context of introducing the smart services should be set in a way that the initiatives address those internal processes which have the greatest impact on the customer, and are not performing well at the time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{"citationItems":[{"id":"ITEM-1","itemData":{"author":[{"dropping-particle":"","family":"Gustafsson","given":"Anders","non-dropping-particle":"","parse-names":false,"suffix":""},{"dropping-particle":"","family":"Johnson","given":"Matthew D.","non-dropping-particle":"","parse-names":false,"suffix":""}],"container-title":"John Wiley &amp; Sons","id":"ITEM-1","issued":{"date-parts":[["2006"]]},"title":"Improving Customer Satisfaction, Loyalty, and Profit: An Integrated Measurement and Management System","type":"article-journal"},"uris":["http://www.mendeley.com/documents/?uuid=5421ed3c-6e2c-4831-b768-56aea3495e83"]},{"id":"ITEM-2","itemData":{"DOI":"10.1016/j.dss.2020.113286","ISSN":"01679236","abstract":"Today, customers can conveniently compare products and decide how to interact with companies. With customer centricity becoming an important success factor, companies must drive customer satisfaction not only through excellent products but also through customer-centric processes. As many companies face an abundance of action possibilities, fast-changing customer needs, and scarce resources, guidance regarding the customer-centric prioritization of process improvement projects is in high need. As existing approaches predominantly focus on process efficiency, we propose a decision model that accounts for the effects of process improvement on customer centricity in line with justificatory knowledge on value-based process decision-making, project portfolio selection, and the measurement of customer satisfaction. When building the decision model, we adopted the design science paradigm and used multi-criteria decision analysis as well as normative analytical modeling as research methods. We evaluated the model by discussing it with practitioners, by building a software prototype, and by applying it at a German insurance company. Overall, our research extends the prescriptive knowledge on process prioritization and customer process management.","author":[{"dropping-particle":"","family":"Kreuzer","given":"Thomas","non-dropping-particle":"","parse-names":false,"suffix":""},{"dropping-particle":"","family":"Röglinger","given":"Maximilian","non-dropping-particle":"","parse-names":false,"suffix":""},{"dropping-particle":"","family":"Rupprecht","given":"Lea","non-dropping-particle":"","parse-names":false,"suffix":""}],"container-title":"Decision Support Systems","id":"ITEM-2","issued":{"date-parts":[["2020"]]},"publisher":"Elsevier","title":"Customer-centric prioritization of process improvement projects","type":"article-journal","volume":"133"},"uris":["http://www.mendeley.com/documents/?uuid=b1d6d3c5-08bd-4baf-a3b6-1717bbc7b1ed"]}],"mendeley":{"formattedCitation":"(Gustafsson and Johnson, 2006; Kreuzer, Röglinger and Rupprecht, 2020)","plainTextFormattedCitation":"(Gustafsson and Johnson, 2006; Kreuzer, Röglinger and Rupprecht, 2020)","previouslyFormattedCitation":"(Gustafsson and Johnson, 2006; Kreuzer, Röglinger and Rupprecht, 2020)"},"properties":{"noteIndex":0},"schema":"https://github.com/citation-style-language/schema/raw/master/csl-citation.json"}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(Gustafsson and Johnson, 2006; Kreuzer, Röglinger and Rupprecht, 2020)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By improving those processes, there should be the biggest “return of investment” when looking at the effects towards increasing customer’s satisfaction while keeping the internal processes optimized. </w:t>
      </w:r>
    </w:p>
    <w:p w14:paraId="4ED6BC32"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When the processes are designed, links between the internal processes and customers should be established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{"citationItems":[{"id":"ITEM-1","itemData":{"author":[{"dropping-particle":"","family":"Kaplan","given":"Robert S.","non-dropping-particle":"","parse-names":false,"suffix":""},{"dropping-particle":"","family":"Norton","given":"David P.","non-dropping-particle":"","parse-names":false,"suffix":""}],"container-title":"California Management Review","id":"ITEM-1","issue":"1","issued":{"date-parts":[["1996"]]},"title":"Linking the Balanced Scorecard to Startegy","type":"article-journal","volume":"39"},"uris":["http://www.mendeley.com/documents/?uuid=2e45e2e9-471b-4165-8d8e-00212f447f72"]},{"id":"ITEM-2","itemData":{"author":[{"dropping-particle":"","family":"Ruland","given":"Yves","non-dropping-particle":"","parse-names":false,"suffix":""}],"container-title":"Master thesis - FACULTEIT BEDRIJFSECONOMISCHE WETENSCHAPPEN","id":"ITEM-2","issued":{"date-parts":[["2016"]]},"page":"85","title":"Customer experience and its potential to extend business process management","type":"article-journal"},"uris":["http://www.mendeley.com/documents/?uuid=a5879863-dffc-411b-982b-8c461476f10e"]},{"id":"ITEM-3","itemData":{"DOI":"10.5220/0002534202600265","ISBN":"9728865198","abstract":"Service Provider business processes require extensive customer participation. Due to the customer's substantial impact on the successful implementation of performance processes, measures of customer interaction must be planned meticulously. At present, there are numerous modelling techniques for a model-based structuring of these processes. Admittedly, most of these models provide only general operations for model modifications such as the ability to delete and add elements. This paper demonstrates possible extensions for process modelling techniques which are intended to assist service providers in analysing their processes with particular regard to customer integration and contract formulation.","author":[{"dropping-particle":"","family":"Klose","given":"Karsten","non-dropping-particle":"","parse-names":false,"suffix":""},{"dropping-particle":"","family":"Knackstedt","given":"Ralf","non-dropping-particle":"","parse-names":false,"suffix":""},{"dropping-particle":"","family":"Becker","given":"Jörg","non-dropping-particle":"","parse-names":false,"suffix":""}],"container-title":"ICEIS 2005 - Proceedings of the 7th International Conference on Enterprise Information Systems","id":"ITEM-3","issued":{"date-parts":[["2005"]]},"page":"260-265","title":"Process modelling for service processes: Modelling methods extensions for specifying and analysing customer integration","type":"article-journal"},"uris":["http://www.mendeley.com/documents/?uuid=7367c0a4-ef50-44b1-9f26-ac0cd59a1ea5"]}],"mendeley":{"formattedCitation":"(Kaplan and Norton, 1996; Klose, Knackstedt and Becker, 2005; Ruland, 2016)","plainTextFormattedCitation":"(Kaplan and Norton, 1996; Klose, Knackstedt and Becker, 2005; Ruland, 2016)","previouslyFormattedCitation":"(Kaplan and Norton, 1996; Klose, Knackstedt and Becker, 2005; Ruland, 2016)"},"properties":{"noteIndex":0},"schema":"https://github.com/citation-style-language/schema/raw/master/csl-citation.json"}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(Kaplan and Norton, 1996; Klose, Knackstedt and Becker, 2005; Ruland, 2016)</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Links can be represented in a visual form by using the so called </w:t>
      </w:r>
      <w:r w:rsidRPr="002A63BA">
        <w:rPr>
          <w:rFonts w:ascii="Open Sans" w:eastAsia="Calibri" w:hAnsi="Open Sans" w:cs="Open Sans"/>
          <w:i/>
          <w:color w:val="000000" w:themeColor="text1"/>
          <w:shd w:val="clear" w:color="auto" w:fill="FFFFFF"/>
          <w:lang w:eastAsia="en-GB"/>
        </w:rPr>
        <w:t>touchpoints</w:t>
      </w:r>
      <w:r w:rsidRPr="002A63BA">
        <w:rPr>
          <w:rFonts w:ascii="Open Sans" w:eastAsia="Calibri" w:hAnsi="Open Sans" w:cs="Open Sans"/>
          <w:iCs/>
          <w:color w:val="000000" w:themeColor="text1"/>
          <w:shd w:val="clear" w:color="auto" w:fill="FFFFFF"/>
          <w:lang w:eastAsia="en-GB"/>
        </w:rPr>
        <w:t xml:space="preserve">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{"citationItems":[{"id":"ITEM-1","itemData":{"abstract":"In these modern times it is more and more difficult to become and stay competitive in the business environment. Customers have increasingly more products to choose from and more channels through which they can satisfy their needs. In such an environment it is vital to ensure an exceptional customer experience, and to maintain this experience through delivering products and services according to customer needs. This can be achieved by developing a process improvement model that integrates traditional approaches to business process improvement with the concept of customer experience management.","author":[{"dropping-particle":"","family":"Botha","given":"G.J.","non-dropping-particle":"","parse-names":false,"suffix":""},{"dropping-particle":"van","family":"Rensburg","given":"A.C.","non-dropping-particle":"","parse-names":false,"suffix":""}],"container-title":"South African Journal of Industrial Engineering","id":"ITEM-1","issue":"1","issued":{"date-parts":[["2010"]]},"page":"45-57","title":"Proposed Business Process Improvement Model With Integrated Customer Experience Management","type":"article-journal","volume":"21"},"uris":["http://www.mendeley.com/documents/?uuid=8893fe14-b154-49dc-8ece-a34a8f5c8d98"]}],"mendeley":{"formattedCitation":"(Botha and Rensburg, 2010)","plainTextFormattedCitation":"(Botha and Rensburg, 2010)","previouslyFormattedCitation":"(Botha and Rensburg, 2010)"},"properties":{"noteIndex":0},"schema":"https://github.com/citation-style-language/schema/raw/master/csl-citation.json"}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(Botha and Rensburg, 2010)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Touchpoints should provide a more detailed information about the experience of the customer for each segment of the journey, and direct the organization into improving those processes generating the worst experience for the customers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{"citationItems":[{"id":"ITEM-1","itemData":{"ISBN":"00178012","ISSN":"0017-8012","PMID":"17345685","abstract":"Anyone who has signed up for cell phone service, attempted to claim a rebate, or navigated a call center has probably suffered from a company's apparent indifference to what should be its first concern: the customer experiences that culminate in either satisfaction or disappointment and defection. Customer experience is the subjective response customers have to direct or indirect contact with a company. It encompasses every aspect of an offering: customer care, advertising, packaging, features, ease of use, reliability. Customer experience is shaped by customers' expectations, which largely reflect previous experiences. Few CEOs would argue against the significance of customer experience or against measuring and analyzing it. But many don't appreciate how those activities differ from CRM or just how illuminating the data can be. For instance, the majority of the companies in a recent survey believed they have been providing \"superior\" experiences to customers, but most customers disagreed. The authors describe a customer experience management (CEM) process that involves three kinds of monitoring: past patterns (evaluating completed transactions), present patterns (tracking current relationships), and potential patterns (conducting inquiries in the hope of unveiling future opportunities). Data are collected at or about touch points through such methods as surveys, interviews, focus groups, and online forums. Companies need to involve every function in the effort, not just a single customer-facing group. The authors go on to illustrate how a cross-functional CEM system is created. With such a system, companies can discover which customers are prospects for growth and which require immediate intervention.","author":[{"dropping-particle":"","family":"Meyer","given":"Christopher","non-dropping-particle":"","parse-names":false,"suffix":""},{"dropping-particle":"","family":"Schwager","given":"Andre","non-dropping-particle":"","parse-names":false,"suffix":""}],"container-title":"Harvard Business Review","id":"ITEM-1","issue":"2","issued":{"date-parts":[["2007"]]},"page":"116-124","title":"Understanding Customer Experience","type":"article","volume":"85"},"uris":["http://www.mendeley.com/documents/?uuid=50613570-81d9-4530-a542-c94b1a704a58"]}],"mendeley":{"formattedCitation":"(Meyer and Schwager, 2007)","plainTextFormattedCitation":"(Meyer and Schwager, 2007)","previouslyFormattedCitation":"(Meyer and Schwager, 2007)"},"properties":{"noteIndex":0},"schema":"https://github.com/citation-style-language/schema/raw/master/csl-citation.json"}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(Meyer and Schwager, 2007)</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Convergent BPM-CXM approach ensures that the links or touchpoints between the organization and customer are established. It is also important to point out that the touchpoint’s analysis should be put into the end-to-end context by analyzing the entire journey of the customers – which begins before the interaction with the organization, and ends after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{"citationItems":[{"id":"ITEM-1","itemData":{"ISBN":"0148-2963","ISSN":"01482963","abstract":"Service researchers have emphasized the importance of studying the service experience, which encompasses multiple service encounters. Although the reflection on a series of service encounters has increased, the scope of research in this space remains narrow. Service research has traditionally concentrated on understanding, measuring and optimizing the core service delivery. While this focused lens has generated extraordinary knowledge and moved service research and practice forward, it has also resulted in a narrowly focused research field. The authors present a framework to guide comprehensive service experience research. Broadly, they define (1) pre-core service encounter, (2) core service encounter, and (3) post-core service encounter as distinct periods within a service experience. Further, they review the literature and put forward important research questions to be addressed within and across these periods. Finally, they argue that researchers need to consider simultaneously all periods of the service experience to make valuable contributions to the literature.","author":[{"dropping-particle":"","family":"Voorhees","given":"Clay M.","non-dropping-particle":"","parse-names":false,"suffix":""},{"dropping-particle":"","family":"Fombelle","given":"Paul W.","non-dropping-particle":"","parse-names":false,"suffix":""},{"dropping-particle":"","family":"Gregoire","given":"Yany","non-dropping-particle":"","parse-names":false,"suffix":""},{"dropping-particle":"","family":"Bone","given":"Sterling","non-dropping-particle":"","parse-names":false,"suffix":""},{"dropping-particle":"","family":"Gustafsson","given":"Anders","non-dropping-particle":"","parse-names":false,"suffix":""},{"dropping-particle":"","family":"Sousa","given":"Rui","non-dropping-particle":"","parse-names":false,"suffix":""},{"dropping-particle":"","family":"Walkowiak","given":"Travis","non-dropping-particle":"","parse-names":false,"suffix":""}],"container-title":"Journal of Business Research","id":"ITEM-1","issue":"November 2016","issued":{"date-parts":[["2017"]]},"page":"269-280","title":"Service encounters, experiences and the customer journey: Defining the field and a call to expand our lens","type":"article-journal","volume":"79"},"uris":["http://www.mendeley.com/documents/?uuid=4b20851f-5343-4bb6-a9f9-878f1deb39c0"]}],"mendeley":{"formattedCitation":"(Voorhees &lt;i&gt;et al.&lt;/i&gt;, 2017)","plainTextFormattedCitation":"(Voorhees et al., 2017)","previouslyFormattedCitation":"(Voorhees &lt;i&gt;et al.&lt;/i&gt;, 2017)"},"properties":{"noteIndex":0},"schema":"https://github.com/citation-style-language/schema/raw/master/csl-citation.json"}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(Voorhees et al., 2017)</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The mentioned visual representation of touchpoints and journeys, as well as establishing their connections with the internal processes, is useful not only for the alignment of the internal processes with the needs of the customers, but also for delivering better services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9781612083049","author":[{"dropping-particle":"","family":"Lee","given":"Eunji","non-dropping-particle":"","parse-names":false,"suffix":""},{"dropping-particle":"","family":"Karahasanović","given":"Amela","non-dropping-particle":"","parse-names":false,"suffix":""}],"container-title":"ICSEA 2013, The Eighth International Conference on Software Engineering Advances","id":"ITEM-1","issue":"c","issued":{"date-parts":[["2013"]]},"page":"579-582","title":"Can Business Process Management Benefit from Service Journey Modelling Language?","type":"article-journal"},"uris":["http://www.mendeley.com/documents/?uuid=4386a79b-936c-4599-93e1-91f00a203818"]}],"mendeley":{"formattedCitation":"(Lee and Karahasanović, 2013)","plainTextFormattedCitation":"(Lee and Karahasanović, 2013)","previouslyFormattedCitation":"(Lee and Karahasanović, 2013)"},"properties":{"noteIndex":0},"schema":"https://github.com/citation-style-language/schema/raw/master/csl-citation.json"}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(Lee and Karahasanović, 2013)</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w:t>
      </w:r>
    </w:p>
    <w:p w14:paraId="1EFEB9CF"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In order to be able to identify if the internal processes would really result in an amazing experience for its customers, organizations should quantify the relative importance of each phase of the journey for the customer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{"citationItems":[{"id":"ITEM-1","itemData":{"abstract":"In this article, the authors develop a conceptual framework for customer relationship management (CRM) that helps broaden the understanding of CRM and its role in enhancing customer value and, as a result, shareholder value. The authors explore definitional aspects of CRM, and they identify three alternative perspectives of CRM. The authors emphasize the need for a cross-functional, process-oriented approach that positions CRM at a strate- gic level. They identify five key cross-functional CRM processes: a strategy development process, a value creation process, a multichannel integration process, an information management process, and a performance assessment process. They develop a new conceptual framework based on these processes and explore the role and function of each element in the framework. The synthesis of the diverse concepts within the literature on CRM and rela- tionship marketing into a single, process-based framework should provide deeper insight into achieving success with CRM strategy and implementation","author":[{"dropping-particle":"","family":"Payne","given":"Adrian","non-dropping-particle":"","parse-names":false,"suffix":""},{"dropping-particle":"","family":"Frow","given":"Pennie","non-dropping-particle":"","parse-names":false,"suffix":""}],"container-title":"Journal of Marketing","id":"ITEM-1","issue":"4","issued":{"date-parts":[["2005"]]},"page":"167-176","title":"A Strategic Framework for Customer Relationship Management","type":"article-journal","volume":"69"},"uris":["http://www.mendeley.com/documents/?uuid=cfdfccd4-c2f6-4cc0-95f1-24512c15a452"]}],"mendeley":{"formattedCitation":"(Payne and Frow, 2005)","plainTextFormattedCitation":"(Payne and Frow, 2005)","previouslyFormattedCitation":"(Payne and Frow, 2005)"},"properties":{"noteIndex":0},"schema":"https://github.com/citation-style-language/schema/raw/master/csl-citation.json"}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(Payne and Frow, 2005)</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This analysis should also provide an explanation </w:t>
      </w:r>
      <w:r w:rsidRPr="002A63BA">
        <w:rPr>
          <w:rFonts w:ascii="Open Sans" w:eastAsia="Calibri" w:hAnsi="Open Sans" w:cs="Open Sans"/>
          <w:iCs/>
          <w:color w:val="000000" w:themeColor="text1"/>
          <w:shd w:val="clear" w:color="auto" w:fill="FFFFFF"/>
          <w:lang w:eastAsia="en-GB"/>
        </w:rPr>
        <w:lastRenderedPageBreak/>
        <w:t xml:space="preserve">on why the customer’s satisfaction is dropping within certain phases of the journey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{"citationItems":[{"id":"ITEM-1","itemData":{"ISBN":"978-3-642-00415-5","ISSN":"00099147","PMID":"10545081","abstract":"Googling the term Business Process Management in May 2008 yields some 6.4 million hits, the great majority of which (based on sampling) seem to concern the so-called BPM software systems. This is ironic and unfortunate, because in fact IT in general, and such BPM systems in particular, is at most a peripheral aspect of Business Process Management. In fact, Business Process Management (BPM) is a comprehensive system for managing and transforming organizational operations, based on what is arguably the first set of new ideas about organizational performance since the Industrial Revolution.","author":[{"dropping-particle":"","family":"Brocke","given":"Jan","non-dropping-particle":"vom","parse-names":false,"suffix":""},{"dropping-particle":"","family":"Rosemann","given":"Michael","non-dropping-particle":"","parse-names":false,"suffix":""}],"container-title":"Handbook on Business Process Management 1","editor":[{"dropping-particle":"","family":"Brocke","given":"Jan","non-dropping-particle":"Vom","parse-names":false,"suffix":""},{"dropping-particle":"","family":"Rosemann","given":"Michael","non-dropping-particle":"","parse-names":false,"suffix":""}],"id":"ITEM-1","issued":{"date-parts":[["2010"]]},"page":"622","publisher":"Springer Heidelberg Dordrecht London New York","title":"The Six Core Elements of Business Process Management","type":"chapter"},"uris":["http://www.mendeley.com/documents/?uuid=9fe764d0-e352-4fd4-b16e-7ae3dc36109b"]}],"mendeley":{"formattedCitation":"(vom Brocke and Rosemann, 2010)","plainTextFormattedCitation":"(vom Brocke and Rosemann, 2010)","previouslyFormattedCitation":"(vom Brocke and Rosemann, 2010)"},"properties":{"noteIndex":0},"schema":"https://github.com/citation-style-language/schema/raw/master/csl-citation.json"}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(vom Brocke and Rosemann, 2010)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w:t>
      </w:r>
    </w:p>
    <w:p w14:paraId="2D2B0667"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The impact and performance of processes from customer’s perspective can be analyzed by monitoring the data acquired from customers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{"citationItems":[{"id":"ITEM-1","itemData":{"abstract":"In these modern times it is more and more difficult to become and stay competitive in the business environment. Customers have increasingly more products to choose from and more channels through which they can satisfy their needs. In such an environment it is vital to ensure an exceptional customer experience, and to maintain this experience through delivering products and services according to customer needs. This can be achieved by developing a process improvement model that integrates traditional approaches to business process improvement with the concept of customer experience management.","author":[{"dropping-particle":"","family":"Botha","given":"G.J.","non-dropping-particle":"","parse-names":false,"suffix":""},{"dropping-particle":"van","family":"Rensburg","given":"A.C.","non-dropping-particle":"","parse-names":false,"suffix":""}],"container-title":"South African Journal of Industrial Engineering","id":"ITEM-1","issue":"1","issued":{"date-parts":[["2010"]]},"page":"45-57","title":"Proposed Business Process Improvement Model With Integrated Customer Experience Management","type":"article-journal","volume":"21"},"uris":["http://www.mendeley.com/documents/?uuid=8893fe14-b154-49dc-8ece-a34a8f5c8d98"]}],"mendeley":{"formattedCitation":"(Botha and Rensburg, 2010)","plainTextFormattedCitation":"(Botha and Rensburg, 2010)","previouslyFormattedCitation":"(Botha and Rensburg, 2010)"},"properties":{"noteIndex":0},"schema":"https://github.com/citation-style-language/schema/raw/master/csl-citation.json"}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(Botha and Rensburg, 2010)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Certain performance measurements are controlled in order to evaluate if processes are performing on a desired level – and this also provides an indication on which processes should be improved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{"citationItems":[{"id":"ITEM-1","itemData":{"author":[{"dropping-particle":"","family":"Ruland","given":"Yves","non-dropping-particle":"","parse-names":false,"suffix":""}],"container-title":"Master thesis - FACULTEIT BEDRIJFSECONOMISCHE WETENSCHAPPEN","id":"ITEM-1","issued":{"date-parts":[["2016"]]},"page":"85","title":"Customer experience and its potential to extend business process management","type":"article-journal"},"uris":["http://www.mendeley.com/documents/?uuid=a5879863-dffc-411b-982b-8c461476f10e"]}],"mendeley":{"formattedCitation":"(Ruland, 2016)","plainTextFormattedCitation":"(Ruland, 2016)","previouslyFormattedCitation":"(Ruland, 2016)"},"properties":{"noteIndex":0},"schema":"https://github.com/citation-style-language/schema/raw/master/csl-citation.json"}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(Ruland, 2016)</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Techniques that can be used in order to gather data and evaluate the experience of customers include focus groups, 1 on 1 interviews, phone and online surveys and others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{"citationItems":[{"id":"ITEM-1","itemData":{"ISBN":"9781601984524","ISSN":"1555-0753","PMID":"24347709","abstract":"Experience is a new and exciting concept marketing academia and practice. This monograph reviews the various meanings of experience as the term is used in philosophy, psychology, and in consumer behavior and marketing. I will discuss the key concepts of experience marketing such as experiential value, different types of experiences, the distinction between ordinary and extraordinary experiences and experience touchpoints. I will also review the empirical findings that provide consumer insights on experiences - such as how experiences are remembered, whether positive and negative experiences can co-exist, how experiential attributes are processed and whether experiences are rational. Practical frameworks for managing and marketing experiences will be discussed. I will conclude with an exploration of how experience marketing can contribute to customer happiness. © 2011 B. Schmitt.","author":[{"dropping-particle":"","family":"Schmitt","given":"Bernd H","non-dropping-particle":"","parse-names":false,"suffix":""}],"container-title":"Foundations and Trends® in Marketing","id":"ITEM-1","issue":"2","issued":{"date-parts":[["2010"]]},"page":"55-112","title":"Experience Marketing: Concepts, Frameworks and Consumer Insights","type":"article-journal","volume":"5"},"uris":["http://www.mendeley.com/documents/?uuid=efa1a4c1-d1ef-4f02-99a8-994ccb4a77d0"]}],"mendeley":{"formattedCitation":"(Schmitt, 2010)","plainTextFormattedCitation":"(Schmitt, 2010)","previouslyFormattedCitation":"(Schmitt, 2010)"},"properties":{"noteIndex":0},"schema":"https://github.com/citation-style-language/schema/raw/master/csl-citation.json"}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(Schmitt, 2010)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Techniques for internal process analysis include the analysis of the weak points of the organizational unit or a processes, process and organizational simulations, static and dynamic analysis of process and organizational unit cost and time, etc.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{"citationItems":[{"id":"ITEM-1","itemData":{"DOI":"10.1007/3-540-45594-9_10","abstract":"Formal analysis techniques can deliver important support during business process redesign efforts. This chapter points out the (potential) contribution of these formal analysis techniques by giving an outline on the subject first. Next, a specific, newly developed formal technique is discussed.","author":[{"dropping-particle":"","family":"Hee","given":"Kees M.","non-dropping-particle":"Van","parse-names":false,"suffix":""},{"dropping-particle":"","family":"Reijers","given":"Hajo A.","non-dropping-particle":"","parse-names":false,"suffix":""}],"container-title":"Business Process Management","id":"ITEM-1","issued":{"date-parts":[["2000"]]},"page":"142-160","title":"Using Formal Analysis Techniques in Business Process Redesign","type":"article-journal"},"uris":["http://www.mendeley.com/documents/?uuid=590de205-424b-4d8a-aef9-2c93bea39411"]}],"mendeley":{"formattedCitation":"(Van Hee and Reijers, 2000)","plainTextFormattedCitation":"(Van Hee and Reijers, 2000)","previouslyFormattedCitation":"(Van Hee and Reijers, 2000)"},"properties":{"noteIndex":0},"schema":"https://github.com/citation-style-language/schema/raw/master/csl-citation.json"}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(Van Hee and Reijers, 2000)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The mentioned techniques and evaluations should result in an initial improvement proposals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9783642331435","author":[{"dropping-particle":"","family":"Dumas","given":"Marlon","non-dropping-particle":"","parse-names":false,"suffix":""},{"dropping-particle":"","family":"Rosa","given":"Marcello","non-dropping-particle":"La","parse-names":false,"suffix":""},{"dropping-particle":"","family":"Mendling","given":"Jan","non-dropping-particle":"","parse-names":false,"suffix":""},{"dropping-particle":"","family":"Reijers","given":"Hajo A.","non-dropping-particle":"","parse-names":false,"suffix":""}],"id":"ITEM-1","issued":{"date-parts":[["2018"]]},"number-of-pages":"399","publisher":"Springer-Verlag Berlin Heidelberg","publisher-place":"Berlin","title":"Fundamentals of business process management","type":"book"},"uris":["http://www.mendeley.com/documents/?uuid=241a7486-9f2f-494e-9cbd-577ad801f1ac"]}],"mendeley":{"formattedCitation":"(Dumas &lt;i&gt;et al.&lt;/i&gt;, 2018)","plainTextFormattedCitation":"(Dumas et al., 2018)","previouslyFormattedCitation":"(Dumas &lt;i&gt;et al.&lt;/i&gt;, 2018)"},"properties":{"noteIndex":0},"schema":"https://github.com/citation-style-language/schema/raw/master/csl-citation.json"}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(Dumas et al., 2018)</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Any interaction (touchpoint) between the customer and the organization generates certain data that can be stored and analyzed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{"citationItems":[{"id":"ITEM-1","itemData":{"DOI":"10.1108/17410400410509950","ISSN":"17410401","abstract":"The last decade has seen the emergence of customer relationship management (CRM) as a technique to underpin organisational performance improvement in improving customer retention, customer satisfaction and customer value. However, evidence suggests that many CRM initiatives fail. Suggests that CRM does not go far enough in changing the underlying culture and systems of an organisation. What is needed is complete customer-centric business processing (CCBP), whereby all business processes and all individuals are focused on identifying and meeting the needs of customer. Explains the concepts behind CCBP and describes the key organisational changes that are needed to underpin CCBP. © 2004, Emerald Group Publishing Limited","author":[{"dropping-particle":"","family":"Bolton","given":"Mike","non-dropping-particle":"","parse-names":false,"suffix":""}],"container-title":"International Journal of Productivity and Performance Management","id":"ITEM-1","issue":"1","issued":{"date-parts":[["2004"]]},"page":"44-51","title":"Customer centric business processing","type":"article-journal","volume":"53"},"uris":["http://www.mendeley.com/documents/?uuid=dcef58d7-2e73-4bdc-b5c7-f469f9780100"]}],"mendeley":{"formattedCitation":"(Bolton, 2004)","plainTextFormattedCitation":"(Bolton, 2004)","previouslyFormattedCitation":"(Bolton, 2004)"},"properties":{"noteIndex":0},"schema":"https://github.com/citation-style-language/schema/raw/master/csl-citation.json"}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(Bolton, 2004)</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This data can be collected manually, but also automatically from the existing IT systems. Based on the predefined metrics and indicators, information that should be used within the next iteration of the internal process and/or customer journey design are gathered. </w:t>
      </w:r>
    </w:p>
    <w:p w14:paraId="66A16CD7"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When the processes and/or customer journeys are redesigned and improvement proposals are approved, implementation of changes occurs. It is important to keep in mind that the implemented changes will have an effect not only on the internal organization, but also on the journey of the customer. This is especially relevant in the context of the mentioned touchpoints between the internal organization and the customer. Only when the organizations redesign and implement their own internal processes in a way that they fully support the needs of their customers, strategic competitive advantages can be achieved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{"citationItems":[{"id":"ITEM-1","itemData":{"abstract":"In these modern times it is more and more difficult to become and stay competitive in the business environment. Customers have increasingly more products to choose from and more channels through which they can satisfy their needs. In such an environment it is vital to ensure an exceptional customer experience, and to maintain this experience through delivering products and services according to customer needs. This can be achieved by developing a process improvement model that integrates traditional approaches to business process improvement with the concept of customer experience management.","author":[{"dropping-particle":"","family":"Botha","given":"G.J.","non-dropping-particle":"","parse-names":false,"suffix":""},{"dropping-particle":"van","family":"Rensburg","given":"A.C.","non-dropping-particle":"","parse-names":false,"suffix":""}],"container-title":"South African Journal of Industrial Engineering","id":"ITEM-1","issue":"1","issued":{"date-parts":[["2010"]]},"page":"45-57","title":"Proposed Business Process Improvement Model With Integrated Customer Experience Management","type":"article-journal","volume":"21"},"uris":["http://www.mendeley.com/documents/?uuid=8893fe14-b154-49dc-8ece-a34a8f5c8d98"]},{"id":"ITEM-2","itemData":{"ISBN":"00178012","ISSN":"0017-8012","PMID":"17345685","abstract":"Anyone who has signed up for cell phone service, attempted to claim a rebate, or navigated a call center has probably suffered from a company's apparent indifference to what should be its first concern: the customer experiences that culminate in either satisfaction or disappointment and defection. Customer experience is the subjective response customers have to direct or indirect contact with a company. It encompasses every aspect of an offering: customer care, advertising, packaging, features, ease of use, reliability. Customer experience is shaped by customers' expectations, which largely reflect previous experiences. Few CEOs would argue against the significance of customer experience or against measuring and analyzing it. But many don't appreciate how those activities differ from CRM or just how illuminating the data can be. For instance, the majority of the companies in a recent survey believed they have been providing \"superior\" experiences to customers, but most customers disagreed. The authors describe a customer experience management (CEM) process that involves three kinds of monitoring: past patterns (evaluating completed transactions), present patterns (tracking current relationships), and potential patterns (conducting inquiries in the hope of unveiling future opportunities). Data are collected at or about touch points through such methods as surveys, interviews, focus groups, and online forums. Companies need to involve every function in the effort, not just a single customer-facing group. The authors go on to illustrate how a cross-functional CEM system is created. With such a system, companies can discover which customers are prospects for growth and which require immediate intervention.","author":[{"dropping-particle":"","family":"Meyer","given":"Christopher","non-dropping-particle":"","parse-names":false,"suffix":""},{"dropping-particle":"","family":"Schwager","given":"Andre","non-dropping-particle":"","parse-names":false,"suffix":""}],"container-title":"Harvard Business Review","id":"ITEM-2","issue":"2","issued":{"date-parts":[["2007"]]},"page":"116-124","title":"Understanding Customer Experience","type":"article","volume":"85"},"uris":["http://www.mendeley.com/documents/?uuid=50613570-81d9-4530-a542-c94b1a704a58"]}],"mendeley":{"formattedCitation":"(Meyer and Schwager, 2007; Botha and Rensburg, 2010)","plainTextFormattedCitation":"(Meyer and Schwager, 2007; Botha and Rensburg, 2010)","previouslyFormattedCitation":"(Meyer and Schwager, 2007; Botha and Rensburg, 2010)"},"properties":{"noteIndex":0},"schema":"https://github.com/citation-style-language/schema/raw/master/csl-citation.json"}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(Meyer and Schwager, 2007; Botha and Rensburg, 2010)</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w:t>
      </w:r>
    </w:p>
    <w:p w14:paraId="59D962A0" w14:textId="77777777" w:rsidR="00AE101A" w:rsidRPr="002A63BA" w:rsidRDefault="00AE101A" w:rsidP="00FF3EE4">
      <w:pPr>
        <w:pStyle w:val="N1"/>
      </w:pPr>
      <w:r w:rsidRPr="002A63BA">
        <w:lastRenderedPageBreak/>
        <w:t xml:space="preserve">BPM-CXM OPERATIONALISED MODEL </w:t>
      </w:r>
    </w:p>
    <w:p w14:paraId="03A96AE5"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In order to make the proposed theoretical model feasible in practice, models, object and attributes were adjusted and/or developed within the market leading business process management system – ARIS. ARIS tool and ARIS Value Engineering (AVE) were selected due to their wide usage within the EMEA region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{"citationItems":[{"id":"ITEM-1","itemData":{"DOI":"10.1088/1742-6596/1333/7/072009","ISSN":"17426596","abstract":"Design and development of modern information systems, such as Enterprise Resource Planning (ERP) systems, requires using the principles of the process approach to analysis of business processes and various tools for automating business-process modeling. The \"End-To-End\" design of business processes, consisting in the continuous or discrete interaction between business process models and elaborated ERP-system, is particularly relevant. Such integration of business process models and ERP-system becomes important during the design process of the information system for high-tech industries characterized by high dynamics of internal logistics processes. The paper discusses business process modeling using the methodology and software tools ARIS by IDS Scheer Company. Based on the analysis and research results of integrating business process models, performed by ARIS Value Engineering methodology, and the well-known Russian ERP system 1C: Enterprise 8.1, an approach and software tool were proposed to enable the ARIS model for importing into the specified ERP system. The proposed method allows maintaining and updating business processes without changing the configuration of the ERP system. The developed software tool is universal for integration purposes with typical software products of 1C. ERP-system settings with embedded software tool remaining typical without reference to the configuration and it is still possible to maintain and update the ERP system in a standardized operation mode.","author":[{"dropping-particle":"V.","family":"Kapulin","given":"D.","non-dropping-particle":"","parse-names":false,"suffix":""},{"dropping-particle":"","family":"Russkikh","given":"P. A.","non-dropping-particle":"","parse-names":false,"suffix":""},{"dropping-particle":"","family":"Moor","given":"I. A.","non-dropping-particle":"","parse-names":false,"suffix":""}],"container-title":"Journal of Physics: Conference Series","id":"ITEM-1","issue":"7","issued":{"date-parts":[["2019"]]},"title":"Integration capabilities of business process models and ERP-systems","type":"article-journal","volume":"1333"},"uris":["http://www.mendeley.com/documents/?uuid=b0e82aa4-973b-42d8-8dbb-0a83d079f8b5"]}],"mendeley":{"formattedCitation":"(Kapulin, Russkikh and Moor, 2019)","plainTextFormattedCitation":"(Kapulin, Russkikh and Moor, 2019)","previouslyFormattedCitation":"(Kapulin, Russkikh and Moor, 2019)"},"properties":{"noteIndex":0},"schema":"https://github.com/citation-style-language/schema/raw/master/csl-citation.json"}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(Kapulin, Russkikh and Moor, 2019)</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w:t>
      </w:r>
    </w:p>
    <w:p w14:paraId="157693B5"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The set of models and objects are formulated within the BPM-CXM convergence model in a following way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Initiatives","type":"chapter"},"uris":["http://www.mendeley.com/documents/?uuid=e682cb6d-3805-4dda-a8de-3496cb43d06f"]}],"mendeley":{"formattedCitation":"(Pavlic and Cukusic, 2019b)","plainTextFormattedCitation":"(Pavlic and Cukusic, 2019b)","previouslyFormattedCitation":"(Pavlic and Cukusic, 2019b)"},"properties":{"noteIndex":0},"schema":"https://github.com/citation-style-language/schema/raw/master/csl-citation.json"}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(Pavlic and Cukusic, 2019b)</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w:t>
      </w:r>
    </w:p>
    <w:p w14:paraId="010D494B"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Process and customer experience identification.</w:t>
      </w:r>
      <w:r w:rsidRPr="002A63BA">
        <w:rPr>
          <w:rFonts w:ascii="Open Sans" w:eastAsia="Calibri" w:hAnsi="Open Sans" w:cs="Open Sans"/>
          <w:iCs/>
          <w:color w:val="000000" w:themeColor="text1"/>
          <w:shd w:val="clear" w:color="auto" w:fill="FFFFFF"/>
          <w:lang w:eastAsia="en-GB"/>
        </w:rPr>
        <w:t xml:space="preserve"> High-level processes and customer experience environments are identified by defining internal process and external customer experience landscapes within the entry model. </w:t>
      </w:r>
    </w:p>
    <w:p w14:paraId="75C1811C"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Process and customer experience discovery</w:t>
      </w:r>
      <w:r w:rsidRPr="002A63BA">
        <w:rPr>
          <w:rFonts w:ascii="Open Sans" w:eastAsia="Calibri" w:hAnsi="Open Sans" w:cs="Open Sans"/>
          <w:iCs/>
          <w:color w:val="000000" w:themeColor="text1"/>
          <w:shd w:val="clear" w:color="auto" w:fill="FFFFFF"/>
          <w:lang w:eastAsia="en-GB"/>
        </w:rPr>
        <w:t xml:space="preserve">. Current (as-is) processes and customer journeys are modelled. Touchpoints are established and act as a “bridge” between the internal (business process) and external (customer journey) models. </w:t>
      </w:r>
    </w:p>
    <w:p w14:paraId="1B82F83A"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Process and customer experience analysis</w:t>
      </w:r>
      <w:r w:rsidRPr="002A63BA">
        <w:rPr>
          <w:rFonts w:ascii="Open Sans" w:eastAsia="Calibri" w:hAnsi="Open Sans" w:cs="Open Sans"/>
          <w:iCs/>
          <w:color w:val="000000" w:themeColor="text1"/>
          <w:shd w:val="clear" w:color="auto" w:fill="FFFFFF"/>
          <w:lang w:eastAsia="en-GB"/>
        </w:rPr>
        <w:t xml:space="preserve">. Internal processes and customer experience are analysed, with an emphasis on the link or the indication of an impact the individual internal processes have on forming a positive or negative customer experience. </w:t>
      </w:r>
    </w:p>
    <w:p w14:paraId="0A797B0D"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Process and customer experience redesign</w:t>
      </w:r>
      <w:r w:rsidRPr="002A63BA">
        <w:rPr>
          <w:rFonts w:ascii="Open Sans" w:eastAsia="Calibri" w:hAnsi="Open Sans" w:cs="Open Sans"/>
          <w:iCs/>
          <w:color w:val="000000" w:themeColor="text1"/>
          <w:shd w:val="clear" w:color="auto" w:fill="FFFFFF"/>
          <w:lang w:eastAsia="en-GB"/>
        </w:rPr>
        <w:t xml:space="preserve">. Based on the previous (analysis) phase, redesign of the as-is business processes and customer journeys is conducted. </w:t>
      </w:r>
    </w:p>
    <w:p w14:paraId="71725B1D"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Process implementation.</w:t>
      </w:r>
      <w:r w:rsidRPr="002A63BA">
        <w:rPr>
          <w:rFonts w:ascii="Open Sans" w:eastAsia="Calibri" w:hAnsi="Open Sans" w:cs="Open Sans"/>
          <w:iCs/>
          <w:color w:val="000000" w:themeColor="text1"/>
          <w:shd w:val="clear" w:color="auto" w:fill="FFFFFF"/>
          <w:lang w:eastAsia="en-GB"/>
        </w:rPr>
        <w:t xml:space="preserve"> Redesigned processes are implemented within the organization, which can include changes in process, organizational or technological segments. These all have an impact on the journey of the customer.</w:t>
      </w:r>
    </w:p>
    <w:p w14:paraId="4B1E6CFB" w14:textId="77777777" w:rsidR="00AE101A" w:rsidRPr="002A63BA" w:rsidRDefault="00AE101A" w:rsidP="00FF3EE4">
      <w:pPr>
        <w:pStyle w:val="Odlomakpopisa"/>
        <w:numPr>
          <w:ilvl w:val="1"/>
          <w:numId w:val="12"/>
        </w:numPr>
        <w:spacing w:after="240" w:line="276" w:lineRule="auto"/>
        <w:ind w:left="709" w:hanging="425"/>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b/>
          <w:bCs/>
          <w:iCs/>
          <w:color w:val="000000" w:themeColor="text1"/>
          <w:shd w:val="clear" w:color="auto" w:fill="FFFFFF"/>
          <w:lang w:eastAsia="en-GB"/>
        </w:rPr>
        <w:t xml:space="preserve">Process and customer experience monitoring and control. </w:t>
      </w:r>
      <w:r w:rsidRPr="002A63BA">
        <w:rPr>
          <w:rFonts w:ascii="Open Sans" w:eastAsia="Calibri" w:hAnsi="Open Sans" w:cs="Open Sans"/>
          <w:iCs/>
          <w:color w:val="000000" w:themeColor="text1"/>
          <w:shd w:val="clear" w:color="auto" w:fill="FFFFFF"/>
          <w:lang w:eastAsia="en-GB"/>
        </w:rPr>
        <w:t xml:space="preserve">Business process and customer experience key performance indicators are monitored on a continuous basis in order to be able </w:t>
      </w:r>
      <w:r w:rsidRPr="002A63BA">
        <w:rPr>
          <w:rFonts w:ascii="Open Sans" w:eastAsia="Calibri" w:hAnsi="Open Sans" w:cs="Open Sans"/>
          <w:iCs/>
          <w:color w:val="000000" w:themeColor="text1"/>
          <w:shd w:val="clear" w:color="auto" w:fill="FFFFFF"/>
          <w:lang w:eastAsia="en-GB"/>
        </w:rPr>
        <w:lastRenderedPageBreak/>
        <w:t>to evaluate the impact and the results of the implemented changes.</w:t>
      </w:r>
    </w:p>
    <w:p w14:paraId="6947C65A"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As elaborated by Pavlic and Cukusic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suppress-author":1,"uris":["http://www.mendeley.com/documents/?uuid=e682cb6d-3805-4dda-a8de-3496cb43d06f"]}],"mendeley":{"formattedCitation":"(2019b)","plainTextFormattedCitation":"(2019b)","previouslyFormattedCitation":"(2019b)"},"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(2019b)</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below are the relevant models created within ARIS tools in order to enable BPM-CXM operationalization:</w:t>
      </w:r>
    </w:p>
    <w:p w14:paraId="01915D7D" w14:textId="77777777" w:rsidR="00AE101A" w:rsidRPr="002A63BA" w:rsidRDefault="00AE101A" w:rsidP="00FF3EE4">
      <w:pPr>
        <w:pStyle w:val="Odlomakpopisa"/>
        <w:numPr>
          <w:ilvl w:val="0"/>
          <w:numId w:val="8"/>
        </w:numPr>
        <w:spacing w:after="240" w:line="276" w:lineRule="auto"/>
        <w:rPr>
          <w:rFonts w:ascii="Open Sans" w:hAnsi="Open Sans" w:cs="Open Sans"/>
          <w:color w:val="000000" w:themeColor="text1"/>
        </w:rPr>
      </w:pPr>
      <w:r w:rsidRPr="002A63BA">
        <w:rPr>
          <w:rFonts w:ascii="Open Sans" w:hAnsi="Open Sans" w:cs="Open Sans"/>
          <w:b/>
          <w:bCs/>
          <w:color w:val="000000" w:themeColor="text1"/>
        </w:rPr>
        <w:t>Entry-level model</w:t>
      </w:r>
      <w:r w:rsidRPr="002A63BA">
        <w:rPr>
          <w:rFonts w:ascii="Open Sans" w:hAnsi="Open Sans" w:cs="Open Sans"/>
          <w:color w:val="000000" w:themeColor="text1"/>
        </w:rPr>
        <w:t xml:space="preserve">. Other than the traditional entry model elements proposed by AVE methodology </w:t>
      </w: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ADDIN CSL_CITATION {"citationItems":[{"id":"ITEM-1","itemData":{"ISBN":"978-3-642-63009-5","ISSN":"1098-6596","PMID":"25246403","author":[{"dropping-particle":"","family":"Scheer","given":"August-Wilhelm","non-dropping-particle":"","parse-names":false,"suffix":""}],"container-title":"Journal of Chemical Information and Modeling","edition":"3","id":"ITEM-1","issue":"9","issued":{"date-parts":[["2000"]]},"number-of-pages":"1689-1699","publisher":"Springer-Verlag Berlin Heidelberg","publisher-place":"Berlin","title":"ARIS — Business Process Modeling","type":"book","volume":"53"},"uris":["http://www.mendeley.com/documents/?uuid=fcd60222-7fac-43ba-8836-1bdf869cbffa"]}],"mendeley":{"formattedCitation":"(Scheer, 2000)","plainTextFormattedCitation":"(Scheer, 2000)"},"properties":{"noteIndex":0},"schema":"https://github.com/citation-style-language/schema/raw/master/csl-citation.json"}</w:instrText>
      </w:r>
      <w:r w:rsidRPr="002A63BA">
        <w:rPr>
          <w:rFonts w:ascii="Open Sans" w:hAnsi="Open Sans" w:cs="Open Sans"/>
          <w:color w:val="000000" w:themeColor="text1"/>
        </w:rPr>
        <w:fldChar w:fldCharType="separate"/>
      </w:r>
      <w:r w:rsidRPr="002A63BA">
        <w:rPr>
          <w:rFonts w:ascii="Open Sans" w:hAnsi="Open Sans" w:cs="Open Sans"/>
          <w:noProof/>
          <w:color w:val="000000" w:themeColor="text1"/>
        </w:rPr>
        <w:t>(Scheer, 2000)</w:t>
      </w:r>
      <w:r w:rsidRPr="002A63BA">
        <w:rPr>
          <w:rFonts w:ascii="Open Sans" w:hAnsi="Open Sans" w:cs="Open Sans"/>
          <w:color w:val="000000" w:themeColor="text1"/>
        </w:rPr>
        <w:fldChar w:fldCharType="end"/>
      </w:r>
      <w:r w:rsidRPr="002A63BA">
        <w:rPr>
          <w:rFonts w:ascii="Open Sans" w:hAnsi="Open Sans" w:cs="Open Sans"/>
          <w:color w:val="000000" w:themeColor="text1"/>
        </w:rPr>
        <w:t xml:space="preserve">, new model contains an individual quadrant for the customer experience landscape. Equal importance is given from the entry level perspective to both internal processes and external customer experiences. </w:t>
      </w:r>
    </w:p>
    <w:p w14:paraId="40BC4260" w14:textId="77777777" w:rsidR="00AE101A" w:rsidRPr="002A63BA" w:rsidRDefault="00AE101A" w:rsidP="00FF3EE4">
      <w:pPr>
        <w:spacing w:before="120"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drawing>
          <wp:inline distT="0" distB="0" distL="0" distR="0" wp14:anchorId="69B49939" wp14:editId="50670B74">
            <wp:extent cx="4238625" cy="3898582"/>
            <wp:effectExtent l="0" t="0" r="3175" b="635"/>
            <wp:docPr id="12" name="Picture 4" descr="Graphical user interface, application, website,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website, Teams&#10;&#10;Description automatically generated"/>
                    <pic:cNvPicPr/>
                  </pic:nvPicPr>
                  <pic:blipFill>
                    <a:blip r:embed="rId37"/>
                    <a:stretch>
                      <a:fillRect/>
                    </a:stretch>
                  </pic:blipFill>
                  <pic:spPr>
                    <a:xfrm>
                      <a:off x="0" y="0"/>
                      <a:ext cx="4372160" cy="4021404"/>
                    </a:xfrm>
                    <a:prstGeom prst="rect">
                      <a:avLst/>
                    </a:prstGeom>
                  </pic:spPr>
                </pic:pic>
              </a:graphicData>
            </a:graphic>
          </wp:inline>
        </w:drawing>
      </w:r>
    </w:p>
    <w:p w14:paraId="114B3F09"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2. </w:t>
      </w:r>
      <w:r w:rsidRPr="002A63BA">
        <w:rPr>
          <w:rFonts w:ascii="Open Sans" w:hAnsi="Open Sans" w:cs="Open Sans"/>
          <w:i/>
          <w:iCs/>
          <w:color w:val="000000" w:themeColor="text1"/>
        </w:rPr>
        <w:t xml:space="preserve">BPM-CXM entry model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0EBDF944" w14:textId="77777777" w:rsidR="00AE101A" w:rsidRPr="002A63BA" w:rsidRDefault="00AE101A" w:rsidP="00FF3EE4">
      <w:pPr>
        <w:pStyle w:val="heading2"/>
        <w:numPr>
          <w:ilvl w:val="0"/>
          <w:numId w:val="0"/>
        </w:numPr>
        <w:spacing w:before="120" w:after="240" w:line="276" w:lineRule="auto"/>
        <w:jc w:val="both"/>
        <w:rPr>
          <w:rFonts w:ascii="Open Sans" w:hAnsi="Open Sans" w:cs="Open Sans"/>
          <w:b w:val="0"/>
          <w:color w:val="000000" w:themeColor="text1"/>
          <w:sz w:val="22"/>
          <w:szCs w:val="22"/>
          <w:lang w:val="en-GB"/>
        </w:rPr>
      </w:pPr>
      <w:r w:rsidRPr="002A63BA">
        <w:rPr>
          <w:rFonts w:ascii="Open Sans" w:hAnsi="Open Sans" w:cs="Open Sans"/>
          <w:color w:val="000000" w:themeColor="text1"/>
          <w:sz w:val="22"/>
          <w:szCs w:val="22"/>
          <w:lang w:val="en-GB"/>
        </w:rPr>
        <w:lastRenderedPageBreak/>
        <w:t xml:space="preserve">Customer Journey Landscape. </w:t>
      </w:r>
      <w:r w:rsidRPr="002A63BA">
        <w:rPr>
          <w:rFonts w:ascii="Open Sans" w:hAnsi="Open Sans" w:cs="Open Sans"/>
          <w:b w:val="0"/>
          <w:bCs/>
          <w:color w:val="000000" w:themeColor="text1"/>
          <w:sz w:val="22"/>
          <w:szCs w:val="22"/>
          <w:lang w:val="en-GB"/>
        </w:rPr>
        <w:t>This model type encompasses</w:t>
      </w:r>
      <w:r w:rsidRPr="002A63BA">
        <w:rPr>
          <w:rFonts w:ascii="Open Sans" w:hAnsi="Open Sans" w:cs="Open Sans"/>
          <w:color w:val="000000" w:themeColor="text1"/>
          <w:sz w:val="22"/>
          <w:szCs w:val="22"/>
          <w:lang w:val="en-GB"/>
        </w:rPr>
        <w:t xml:space="preserve"> </w:t>
      </w:r>
      <w:r w:rsidRPr="002A63BA">
        <w:rPr>
          <w:rFonts w:ascii="Open Sans" w:hAnsi="Open Sans" w:cs="Open Sans"/>
          <w:b w:val="0"/>
          <w:bCs/>
          <w:color w:val="000000" w:themeColor="text1"/>
          <w:sz w:val="22"/>
          <w:szCs w:val="22"/>
          <w:lang w:val="en-GB"/>
        </w:rPr>
        <w:t>a more detailed overview of the customer’s perspective: it visualizes customer lifecycle stage(s) with the underlaying customer journeys. Overall customer experience attribute is calculated and monitored on the lifecycle stage as well as journey level. Objects of the model are represented in specific colours to indicate the customer experience levels.</w:t>
      </w:r>
    </w:p>
    <w:p w14:paraId="726554F3" w14:textId="77777777" w:rsidR="00AE101A" w:rsidRPr="002A63BA" w:rsidRDefault="00AE101A" w:rsidP="00FF3EE4">
      <w:pPr>
        <w:spacing w:after="240" w:line="276" w:lineRule="auto"/>
        <w:rPr>
          <w:rFonts w:ascii="Open Sans" w:hAnsi="Open Sans" w:cs="Open Sans"/>
          <w:b/>
          <w:color w:val="000000" w:themeColor="text1"/>
        </w:rPr>
      </w:pPr>
      <w:r w:rsidRPr="002A63BA">
        <w:rPr>
          <w:rFonts w:ascii="Open Sans" w:hAnsi="Open Sans" w:cs="Open Sans"/>
          <w:noProof/>
          <w:color w:val="000000" w:themeColor="text1"/>
          <w:lang w:eastAsia="hr-HR"/>
        </w:rPr>
        <w:drawing>
          <wp:inline distT="0" distB="0" distL="0" distR="0" wp14:anchorId="1C2F42A0" wp14:editId="12B42A32">
            <wp:extent cx="4755871" cy="2895600"/>
            <wp:effectExtent l="0" t="0" r="6985"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rotWithShape="1">
                    <a:blip r:embed="rId38" cstate="screen">
                      <a:extLst>
                        <a:ext uri="{28A0092B-C50C-407E-A947-70E740481C1C}">
                          <a14:useLocalDpi xmlns:a14="http://schemas.microsoft.com/office/drawing/2010/main"/>
                        </a:ext>
                      </a:extLst>
                    </a:blip>
                    <a:srcRect/>
                    <a:stretch/>
                  </pic:blipFill>
                  <pic:spPr bwMode="auto">
                    <a:xfrm>
                      <a:off x="0" y="0"/>
                      <a:ext cx="4795196" cy="2919543"/>
                    </a:xfrm>
                    <a:prstGeom prst="rect">
                      <a:avLst/>
                    </a:prstGeom>
                    <a:ln>
                      <a:noFill/>
                    </a:ln>
                    <a:extLst>
                      <a:ext uri="{53640926-AAD7-44D8-BBD7-CCE9431645EC}">
                        <a14:shadowObscured xmlns:a14="http://schemas.microsoft.com/office/drawing/2010/main"/>
                      </a:ext>
                    </a:extLst>
                  </pic:spPr>
                </pic:pic>
              </a:graphicData>
            </a:graphic>
          </wp:inline>
        </w:drawing>
      </w:r>
    </w:p>
    <w:p w14:paraId="3478EC15"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3. </w:t>
      </w:r>
      <w:r w:rsidRPr="002A63BA">
        <w:rPr>
          <w:rFonts w:ascii="Open Sans" w:hAnsi="Open Sans" w:cs="Open Sans"/>
          <w:i/>
          <w:iCs/>
          <w:color w:val="000000" w:themeColor="text1"/>
        </w:rPr>
        <w:t xml:space="preserve">BPM-CXM customer lifecycle stage model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1E05BA92"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b/>
          <w:color w:val="000000" w:themeColor="text1"/>
        </w:rPr>
        <w:t>Customer Journey Map.</w:t>
      </w:r>
      <w:r w:rsidRPr="002A63BA">
        <w:rPr>
          <w:rFonts w:ascii="Open Sans" w:hAnsi="Open Sans" w:cs="Open Sans"/>
          <w:color w:val="000000" w:themeColor="text1"/>
        </w:rPr>
        <w:t xml:space="preserve"> This model visualises an entire end-to-end journey of the customer, with the underlaying journey steps before, during and after an interaction with the organization. It contains different objects relevant to the journey of the customer: customer journey steps, touchpoints, channels, information carriers (inputs/outputs), risks, key performance indicators, improvement initiatives, functional ownership (org. units or positions), and internal process functions.</w:t>
      </w:r>
    </w:p>
    <w:p w14:paraId="5CD33DD1"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lastRenderedPageBreak/>
        <w:drawing>
          <wp:inline distT="0" distB="0" distL="0" distR="0" wp14:anchorId="2DC85BCC" wp14:editId="37D6D656">
            <wp:extent cx="4383688" cy="6591300"/>
            <wp:effectExtent l="0" t="0" r="0" b="0"/>
            <wp:docPr id="14" name="Picture 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pic:cNvPicPr/>
                  </pic:nvPicPr>
                  <pic:blipFill>
                    <a:blip r:embed="rId39"/>
                    <a:stretch>
                      <a:fillRect/>
                    </a:stretch>
                  </pic:blipFill>
                  <pic:spPr>
                    <a:xfrm>
                      <a:off x="0" y="0"/>
                      <a:ext cx="4467306" cy="6717028"/>
                    </a:xfrm>
                    <a:prstGeom prst="rect">
                      <a:avLst/>
                    </a:prstGeom>
                  </pic:spPr>
                </pic:pic>
              </a:graphicData>
            </a:graphic>
          </wp:inline>
        </w:drawing>
      </w:r>
    </w:p>
    <w:p w14:paraId="2EF75F68"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color w:val="000000" w:themeColor="text1"/>
        </w:rPr>
        <w:t xml:space="preserve">Figure 4. </w:t>
      </w:r>
      <w:r w:rsidRPr="002A63BA">
        <w:rPr>
          <w:rFonts w:ascii="Open Sans" w:hAnsi="Open Sans" w:cs="Open Sans"/>
          <w:i/>
          <w:iCs/>
          <w:color w:val="000000" w:themeColor="text1"/>
        </w:rPr>
        <w:t xml:space="preserve">BPM-CXM customer journey map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0CE58B3E"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lastRenderedPageBreak/>
        <w:t xml:space="preserve">Within the model, Overall customer experience indictation is represented on the end-to-end basis as an attribute of the model. It is calculated by taking into the account the importance for the customer and customer feeling of each touchpoint of the journey. The data can be produced as a part of research, based on the existing KPIs, or reused from the existing IT systems. Each touchpoint can optionally be a pain point, moment of truth, and/or best practice. </w:t>
      </w:r>
    </w:p>
    <w:p w14:paraId="0312D51D" w14:textId="3AB62F9E" w:rsidR="00AE101A" w:rsidRPr="002A63BA" w:rsidRDefault="00AE101A" w:rsidP="00FF3EE4">
      <w:pPr>
        <w:spacing w:before="120" w:after="240" w:line="276" w:lineRule="auto"/>
        <w:rPr>
          <w:rFonts w:ascii="Open Sans" w:hAnsi="Open Sans" w:cs="Open Sans"/>
          <w:color w:val="000000" w:themeColor="text1"/>
        </w:rPr>
      </w:pPr>
      <w:r w:rsidRPr="002A63BA">
        <w:rPr>
          <w:rFonts w:ascii="Open Sans" w:hAnsi="Open Sans" w:cs="Open Sans"/>
          <w:b/>
          <w:color w:val="000000" w:themeColor="text1"/>
        </w:rPr>
        <w:t xml:space="preserve">Customer Touchpoint Allocation Diagram. </w:t>
      </w:r>
      <w:r w:rsidRPr="002A63BA">
        <w:rPr>
          <w:rFonts w:ascii="Open Sans" w:hAnsi="Open Sans" w:cs="Open Sans"/>
          <w:bCs/>
          <w:color w:val="000000" w:themeColor="text1"/>
        </w:rPr>
        <w:t xml:space="preserve">This model is used for further detailing and analyzing all the aspects of a customer touchpoint. </w:t>
      </w:r>
      <w:r w:rsidRPr="002A63BA">
        <w:rPr>
          <w:rFonts w:ascii="Open Sans" w:hAnsi="Open Sans" w:cs="Open Sans"/>
          <w:color w:val="000000" w:themeColor="text1"/>
        </w:rPr>
        <w:t>Similar to the customer journey map (however now on an individual touchpoint level), the objects that the model contains are: customer journey steps, internal process functions, positions (that represent the ownership of the touchpoint from an internal organization perspective), channels, risks, information carriers (inputs/outputs), key performance indicators, and improvement initiatives. Each of these elements can be further described by using the system or customized attributes.</w:t>
      </w:r>
    </w:p>
    <w:p w14:paraId="04867B2D"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lastRenderedPageBreak/>
        <w:drawing>
          <wp:inline distT="0" distB="0" distL="0" distR="0" wp14:anchorId="2C944241" wp14:editId="3A4ADEB9">
            <wp:extent cx="4219575" cy="3768830"/>
            <wp:effectExtent l="0" t="0" r="0" b="3175"/>
            <wp:docPr id="9" name="Picture 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pic:cNvPicPr/>
                  </pic:nvPicPr>
                  <pic:blipFill>
                    <a:blip r:embed="rId40" cstate="screen">
                      <a:extLst>
                        <a:ext uri="{28A0092B-C50C-407E-A947-70E740481C1C}">
                          <a14:useLocalDpi xmlns:a14="http://schemas.microsoft.com/office/drawing/2010/main"/>
                        </a:ext>
                      </a:extLst>
                    </a:blip>
                    <a:stretch>
                      <a:fillRect/>
                    </a:stretch>
                  </pic:blipFill>
                  <pic:spPr>
                    <a:xfrm>
                      <a:off x="0" y="0"/>
                      <a:ext cx="4235290" cy="3782866"/>
                    </a:xfrm>
                    <a:prstGeom prst="rect">
                      <a:avLst/>
                    </a:prstGeom>
                  </pic:spPr>
                </pic:pic>
              </a:graphicData>
            </a:graphic>
          </wp:inline>
        </w:drawing>
      </w:r>
    </w:p>
    <w:p w14:paraId="36302553"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5. </w:t>
      </w:r>
      <w:r w:rsidRPr="002A63BA">
        <w:rPr>
          <w:rFonts w:ascii="Open Sans" w:hAnsi="Open Sans" w:cs="Open Sans"/>
          <w:i/>
          <w:iCs/>
          <w:color w:val="000000" w:themeColor="text1"/>
        </w:rPr>
        <w:t xml:space="preserve">BPM-CXM customer touchpoint allocation diagram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70149F8E" w14:textId="77777777" w:rsidR="00AE101A" w:rsidRPr="002A63BA" w:rsidRDefault="00AE101A" w:rsidP="00FF3EE4">
      <w:pPr>
        <w:spacing w:before="120" w:after="240" w:line="276" w:lineRule="auto"/>
        <w:rPr>
          <w:rFonts w:ascii="Open Sans" w:hAnsi="Open Sans" w:cs="Open Sans"/>
          <w:color w:val="000000" w:themeColor="text1"/>
        </w:rPr>
      </w:pPr>
      <w:r w:rsidRPr="002A63BA">
        <w:rPr>
          <w:rFonts w:ascii="Open Sans" w:hAnsi="Open Sans" w:cs="Open Sans"/>
          <w:b/>
          <w:color w:val="000000" w:themeColor="text1"/>
        </w:rPr>
        <w:t>Value-added Chain Diagram.</w:t>
      </w:r>
      <w:r w:rsidRPr="002A63BA">
        <w:rPr>
          <w:rFonts w:ascii="Open Sans" w:hAnsi="Open Sans" w:cs="Open Sans"/>
          <w:color w:val="000000" w:themeColor="text1"/>
        </w:rPr>
        <w:t xml:space="preserve"> This model shows a high level process perspective. The important addition of the BPM-CXM approach is that this model includes an indication of the overall customer experience impact generated by each individual process, which is calculated as an average of the customer experience of all the associated touchpoints of a particular process. It also provides an overview of the underlaying touchpoints (with customer experience indication for each touchpoint) for each segment of the end-ot-end process. Based on that, indications are provided on which internal processes should be optimized to improve the experience of the customer. </w:t>
      </w:r>
    </w:p>
    <w:p w14:paraId="67359F22"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lastRenderedPageBreak/>
        <w:drawing>
          <wp:inline distT="0" distB="0" distL="0" distR="0" wp14:anchorId="7F0A2A61" wp14:editId="45E67E13">
            <wp:extent cx="4755235" cy="2733675"/>
            <wp:effectExtent l="0" t="0" r="7620"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41" cstate="screen">
                      <a:extLst>
                        <a:ext uri="{28A0092B-C50C-407E-A947-70E740481C1C}">
                          <a14:useLocalDpi xmlns:a14="http://schemas.microsoft.com/office/drawing/2010/main"/>
                        </a:ext>
                      </a:extLst>
                    </a:blip>
                    <a:stretch>
                      <a:fillRect/>
                    </a:stretch>
                  </pic:blipFill>
                  <pic:spPr>
                    <a:xfrm>
                      <a:off x="0" y="0"/>
                      <a:ext cx="4807846" cy="2763920"/>
                    </a:xfrm>
                    <a:prstGeom prst="rect">
                      <a:avLst/>
                    </a:prstGeom>
                  </pic:spPr>
                </pic:pic>
              </a:graphicData>
            </a:graphic>
          </wp:inline>
        </w:drawing>
      </w:r>
    </w:p>
    <w:p w14:paraId="0F26B69E"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6. </w:t>
      </w:r>
      <w:r w:rsidRPr="002A63BA">
        <w:rPr>
          <w:rFonts w:ascii="Open Sans" w:hAnsi="Open Sans" w:cs="Open Sans"/>
          <w:i/>
          <w:iCs/>
          <w:color w:val="000000" w:themeColor="text1"/>
        </w:rPr>
        <w:t xml:space="preserve">BPM-CXM value-added chain diagram (with touchpoint representation)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5B388804" w14:textId="77777777" w:rsidR="00AE101A" w:rsidRPr="002A63BA" w:rsidRDefault="00AE101A" w:rsidP="00FF3EE4">
      <w:pPr>
        <w:spacing w:before="120" w:after="240" w:line="276" w:lineRule="auto"/>
        <w:rPr>
          <w:rFonts w:ascii="Open Sans" w:hAnsi="Open Sans" w:cs="Open Sans"/>
          <w:color w:val="000000" w:themeColor="text1"/>
        </w:rPr>
      </w:pPr>
      <w:r w:rsidRPr="002A63BA">
        <w:rPr>
          <w:rFonts w:ascii="Open Sans" w:hAnsi="Open Sans" w:cs="Open Sans"/>
          <w:b/>
          <w:color w:val="000000" w:themeColor="text1"/>
        </w:rPr>
        <w:t>Event-Driven Process Chain.</w:t>
      </w:r>
      <w:r w:rsidRPr="002A63BA">
        <w:rPr>
          <w:rFonts w:ascii="Open Sans" w:hAnsi="Open Sans" w:cs="Open Sans"/>
          <w:color w:val="000000" w:themeColor="text1"/>
        </w:rPr>
        <w:t xml:space="preserve"> This model shows internal processes and their manual or system activities on a detailed level. In addition to the internal process steps and the associated inputs/outputs, organizational units, IT systems and risks</w:t>
      </w:r>
      <w:r w:rsidRPr="002A63BA">
        <w:rPr>
          <w:rFonts w:ascii="Open Sans" w:hAnsi="Open Sans" w:cs="Open Sans"/>
          <w:bCs/>
          <w:color w:val="000000" w:themeColor="text1"/>
        </w:rPr>
        <w:t>, they also contain touchpoints with the customers. Touchpoints form a “bridge” between a customer and the organization, and they include a colour indication of the overall customer experience.</w:t>
      </w:r>
    </w:p>
    <w:p w14:paraId="6664EEB6" w14:textId="77777777" w:rsidR="00AE101A" w:rsidRPr="002A63BA" w:rsidRDefault="00AE101A" w:rsidP="00FF3EE4">
      <w:pPr>
        <w:spacing w:after="240" w:line="276" w:lineRule="auto"/>
        <w:rPr>
          <w:rFonts w:ascii="Open Sans" w:hAnsi="Open Sans" w:cs="Open Sans"/>
          <w:color w:val="000000" w:themeColor="text1"/>
        </w:rPr>
      </w:pPr>
      <w:r w:rsidRPr="002A63BA">
        <w:rPr>
          <w:rFonts w:ascii="Open Sans" w:hAnsi="Open Sans" w:cs="Open Sans"/>
          <w:noProof/>
          <w:color w:val="000000" w:themeColor="text1"/>
          <w:lang w:eastAsia="hr-HR"/>
        </w:rPr>
        <w:lastRenderedPageBreak/>
        <w:drawing>
          <wp:inline distT="0" distB="0" distL="0" distR="0" wp14:anchorId="201583F0" wp14:editId="13659498">
            <wp:extent cx="4717918" cy="2914650"/>
            <wp:effectExtent l="0" t="0" r="6985" b="0"/>
            <wp:docPr id="15"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rotWithShape="1">
                    <a:blip r:embed="rId42" cstate="screen">
                      <a:extLst>
                        <a:ext uri="{28A0092B-C50C-407E-A947-70E740481C1C}">
                          <a14:useLocalDpi xmlns:a14="http://schemas.microsoft.com/office/drawing/2010/main"/>
                        </a:ext>
                      </a:extLst>
                    </a:blip>
                    <a:srcRect/>
                    <a:stretch/>
                  </pic:blipFill>
                  <pic:spPr bwMode="auto">
                    <a:xfrm>
                      <a:off x="0" y="0"/>
                      <a:ext cx="4825920" cy="2981372"/>
                    </a:xfrm>
                    <a:prstGeom prst="rect">
                      <a:avLst/>
                    </a:prstGeom>
                    <a:ln>
                      <a:noFill/>
                    </a:ln>
                    <a:extLst>
                      <a:ext uri="{53640926-AAD7-44D8-BBD7-CCE9431645EC}">
                        <a14:shadowObscured xmlns:a14="http://schemas.microsoft.com/office/drawing/2010/main"/>
                      </a:ext>
                    </a:extLst>
                  </pic:spPr>
                </pic:pic>
              </a:graphicData>
            </a:graphic>
          </wp:inline>
        </w:drawing>
      </w:r>
    </w:p>
    <w:p w14:paraId="4926A697" w14:textId="77777777" w:rsidR="00AE101A" w:rsidRPr="002A63BA" w:rsidRDefault="00AE101A" w:rsidP="00FF3EE4">
      <w:pPr>
        <w:spacing w:after="240" w:line="276" w:lineRule="auto"/>
        <w:rPr>
          <w:rFonts w:ascii="Open Sans" w:hAnsi="Open Sans" w:cs="Open Sans"/>
          <w:i/>
          <w:iCs/>
          <w:color w:val="000000" w:themeColor="text1"/>
        </w:rPr>
      </w:pPr>
      <w:r w:rsidRPr="002A63BA">
        <w:rPr>
          <w:rFonts w:ascii="Open Sans" w:hAnsi="Open Sans" w:cs="Open Sans"/>
          <w:color w:val="000000" w:themeColor="text1"/>
        </w:rPr>
        <w:t xml:space="preserve">Figure 7. </w:t>
      </w:r>
      <w:r w:rsidRPr="002A63BA">
        <w:rPr>
          <w:rFonts w:ascii="Open Sans" w:hAnsi="Open Sans" w:cs="Open Sans"/>
          <w:i/>
          <w:iCs/>
          <w:color w:val="000000" w:themeColor="text1"/>
        </w:rPr>
        <w:t xml:space="preserve">BPM-CXM process model (with touchpoint representation) </w:t>
      </w:r>
      <w:r w:rsidRPr="002A63BA">
        <w:rPr>
          <w:rFonts w:ascii="Open Sans" w:hAnsi="Open Sans" w:cs="Open Sans"/>
          <w:i/>
          <w:iCs/>
          <w:color w:val="000000" w:themeColor="text1"/>
        </w:rPr>
        <w:fldChar w:fldCharType="begin" w:fldLock="1"/>
      </w:r>
      <w:r w:rsidRPr="002A63BA">
        <w:rPr>
          <w:rFonts w:ascii="Open Sans" w:hAnsi="Open Sans" w:cs="Open Sans"/>
          <w:i/>
          <w:iCs/>
          <w:color w:val="000000" w:themeColor="text1"/>
        </w:rPr>
        <w:instrText>ADDIN CSL_CITATION {"citationItems":[{"id":"ITEM-1","itemData":{"ISBN":"0000000275538","author":[{"dropping-particle":"","family":"Pavlic","given":"Dino","non-dropping-particle":"","parse-names":false,"suffix":""},{"dropping-particle":"","family":"Cukusic","given":"Maja","non-dropping-particle":"","parse-names":false,"suffix":""}],"container-title":"The Practice of Enterprise Modeling Developing","editor":[{"dropping-particle":"","family":"Gordijn","given":"Jaap","non-dropping-particle":"","parse-names":false,"suffix":""},{"dropping-particle":"","family":"Guédria","given":"Wided","non-dropping-particle":"","parse-names":false,"suffix":""},{"dropping-particle":"","family":"Proper","given":"Henderik A","non-dropping-particle":"","parse-names":false,"suffix":""}],"id":"ITEM-1","issued":{"date-parts":[["2019"]]},"publisher":"Springer Nature Switzerland AG","title":"Developing a Structured Approach to Converging Business Process Management and Customer Experience Management Initiatives","type":"chapter"},"uris":["http://www.mendeley.com/documents/?uuid=e682cb6d-3805-4dda-a8de-3496cb43d06f"]},{"id":"ITEM-2","itemData":{"author":[{"dropping-particle":"","family":"Pavlic","given":"Dino","non-dropping-particle":"","parse-names":false,"suffix":""}],"id":"ITEM-2","issued":{"date-parts":[["2021"]]},"number-of-pages":"244","publisher":"Faculty of Economics, University of Split","title":"Business Process Management and Customer Experience Management Convergence Model","type":"thesis"},"uris":["http://www.mendeley.com/documents/?uuid=cfc6f5b7-96ed-46e9-a1df-7ebaeec2cde0"]}],"mendeley":{"formattedCitation":"(Pavlic and Cukusic, 2019b; Pavlic, 2021)","plainTextFormattedCitation":"(Pavlic and Cukusic, 2019b; Pavlic, 2021)","previouslyFormattedCitation":"(Pavlic and Cukusic, 2019b; Pavlic, 2021)"},"properties":{"noteIndex":0},"schema":"https://github.com/citation-style-language/schema/raw/master/csl-citation.json"}</w:instrText>
      </w:r>
      <w:r w:rsidRPr="002A63BA">
        <w:rPr>
          <w:rFonts w:ascii="Open Sans" w:hAnsi="Open Sans" w:cs="Open Sans"/>
          <w:i/>
          <w:iCs/>
          <w:color w:val="000000" w:themeColor="text1"/>
        </w:rPr>
        <w:fldChar w:fldCharType="separate"/>
      </w:r>
      <w:r w:rsidRPr="002A63BA">
        <w:rPr>
          <w:rFonts w:ascii="Open Sans" w:hAnsi="Open Sans" w:cs="Open Sans"/>
          <w:iCs/>
          <w:noProof/>
          <w:color w:val="000000" w:themeColor="text1"/>
        </w:rPr>
        <w:t>(Pavlic and Cukusic, 2019b; Pavlic, 2021)</w:t>
      </w:r>
      <w:r w:rsidRPr="002A63BA">
        <w:rPr>
          <w:rFonts w:ascii="Open Sans" w:hAnsi="Open Sans" w:cs="Open Sans"/>
          <w:i/>
          <w:iCs/>
          <w:color w:val="000000" w:themeColor="text1"/>
        </w:rPr>
        <w:fldChar w:fldCharType="end"/>
      </w:r>
    </w:p>
    <w:p w14:paraId="0DB0FEF8" w14:textId="7A7BE6D3" w:rsidR="00AE101A" w:rsidRPr="002A63BA" w:rsidRDefault="00AE101A" w:rsidP="00FF3EE4">
      <w:pPr>
        <w:pStyle w:val="N1"/>
      </w:pPr>
      <w:r w:rsidRPr="002A63BA">
        <w:t>CONCLUSION</w:t>
      </w:r>
    </w:p>
    <w:p w14:paraId="5A321E79"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The BPM-CXM convergent approach establishes a synergy between the BPM and CXM strategic approaches. Considering that the process is as good as its weakest point, it is important to continuously improve end-to-end processes. While doing so, it is crucial to take into account not only the internal, but also the external perspective – or the needs of the customers (in the local government case, citizens) external to the organization, as well as the touchpoints connecting these two perspectives. In order to truly become citizen oriented, local governments should fully understand the needs as well as processes from the perspective of citizens – and design their internal processes in a way to optimize and support them. This should be a prerequisite for designing and introducing any smart city related services. As such, it should enable the local governments to redesign the current services and transition to a smart mode of operation within the 4 crucial segments: process, organizational, technological, and citizen-experience.</w:t>
      </w:r>
    </w:p>
    <w:p w14:paraId="4FC7F281"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lastRenderedPageBreak/>
        <w:t xml:space="preserve">According to the gap recognised by Rosenbaum and others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{"citationItems":[{"id":"ITEM-1","itemData":{"ISBN":"0007-6813","ISSN":"00076813","abstract":"Although many articles discuss customer journey mapping (CJM), both academics and practitioners still question the best ways to model the consumer decision journey. We contend that most customer journey maps are critically flawed. They assume all customers of a particular organization experience the same organi- zational touchpoints and view these touchpoints as equally important. Furthermore, management lacks an understanding of how to use CJM as a cross-functional, strategic tool that promotes service innovation. This article proposes a solution to the unwieldy complexity of CJM by linking customer research to the CJM process and by showing managers how to develop a customer journey map that improves a customer’s experience at each touchpoint. Using the case of an actual retail mall, we show that common CJM assumptions about the equal importance of all touchpoints are fundamentally wrong, and how easy it is for retail managers and strategic planners to make incorrect judgements about customer experience. This article demonstrates through a case study how customer research helped a mall’s strategic management team understand which touchpoints were more or less critical to customer experi- ence. It also shows key strategic initiatives at each touchpoint, resulting in cross- functional input aimed to advance service innovation at the mall.","author":[{"dropping-particle":"","family":"Rosenbaum","given":"Mark S","non-dropping-particle":"","parse-names":false,"suffix":""},{"dropping-particle":"","family":"Otalora","given":"Mauricio Losada","non-dropping-particle":"","parse-names":false,"suffix":""},{"dropping-particle":"","family":"Contreras Ramírez","given":"Germán","non-dropping-particle":"","parse-names":false,"suffix":""}],"container-title":"Business Horizons","id":"ITEM-1","issue":"1","issued":{"date-parts":[["2017"]]},"title":"How to create a realistic customer journey map","type":"article-journal","volume":"60"},"suppress-author":1,"uris":["http://www.mendeley.com/documents/?uuid=1802b9cb-ed2e-43fc-9ce2-0ecc3991ee97"]}],"mendeley":{"formattedCitation":"(2017)","plainTextFormattedCitation":"(2017)","previouslyFormattedCitation":"(2017)"},"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(2017)</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xml:space="preserve">, BPM-CXM approach enables detection and the analysis of touchpoints between the internal organization and the customer, as well as directing value that the organization generates towards the customer. The approach recognizes customer journey as one of the processes which the organizations should manage, and continuously align with other processes. As a methodological approach for the analysis and the evaluation of impact of business processes transformation on the customer journey and vice versa, it is useful since it provides valuable information to be considered along the unavoidable business and IT transformation. By using the proposed approach, a solid baseline architecture for understanding the needs of citizens as well as connecting them with the internal processes would be established. Communication and general interaction between the process management and customer experience departments would no longer be kept in silos. Better alignment between the internal process design and needs of the citizens would be enabled. Satisfaction of internal employees of the organization, as well as customers, should be improved by making their experience seamless through smart city enabled services. </w:t>
      </w:r>
    </w:p>
    <w:p w14:paraId="44AF23F1"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In addition, by using the proposed approach, fulfilment of the needs of customers is evaluated within the internal processes management context. This enables added value for the customers, higher positive customer experience, better communication and transparency, and better alignment of key performance indicators between the departments. Based on that, BPM-CXM approach can eliminate a lot of issues within the traditional approaches which are related to smart city transformations. It should align the internal and external project goals, which should also lead the the higher success rate of the projects. It should also improve the organizational performance and customer experience in general. Compared to the traditional approaches, it should result in internal process improvements in parallel with increasing the satisfaction of customers. Therefore, it is evident that it is no longer possible to transform the internal processes of the organization, without </w:t>
      </w:r>
      <w:r w:rsidRPr="002A63BA">
        <w:rPr>
          <w:rFonts w:ascii="Open Sans" w:eastAsia="Calibri" w:hAnsi="Open Sans" w:cs="Open Sans"/>
          <w:iCs/>
          <w:color w:val="000000" w:themeColor="text1"/>
          <w:shd w:val="clear" w:color="auto" w:fill="FFFFFF"/>
          <w:lang w:eastAsia="en-GB"/>
        </w:rPr>
        <w:lastRenderedPageBreak/>
        <w:t xml:space="preserve">taking into account the interactions with the customer. Even though BPM and CXM were not very well-connected domains in the past, benefits of the convergent approach are significant not only within the mentioned domains, but for the entire organization as well. Only when the initiatives for the smart city services are aligned with the needs of the customer, transformation potential can be fully used. </w:t>
      </w:r>
    </w:p>
    <w:p w14:paraId="0E02AFAB" w14:textId="77777777" w:rsidR="00AE101A" w:rsidRPr="002A63BA" w:rsidRDefault="00AE101A" w:rsidP="00FF3EE4">
      <w:pPr>
        <w:spacing w:after="240" w:line="276" w:lineRule="auto"/>
        <w:rPr>
          <w:rFonts w:ascii="Open Sans" w:eastAsia="Calibri" w:hAnsi="Open Sans" w:cs="Open Sans"/>
          <w:iCs/>
          <w:color w:val="000000" w:themeColor="text1"/>
          <w:shd w:val="clear" w:color="auto" w:fill="FFFFFF"/>
          <w:lang w:eastAsia="en-GB"/>
        </w:rPr>
      </w:pPr>
      <w:r w:rsidRPr="002A63BA">
        <w:rPr>
          <w:rFonts w:ascii="Open Sans" w:eastAsia="Calibri" w:hAnsi="Open Sans" w:cs="Open Sans"/>
          <w:iCs/>
          <w:color w:val="000000" w:themeColor="text1"/>
          <w:shd w:val="clear" w:color="auto" w:fill="FFFFFF"/>
          <w:lang w:eastAsia="en-GB"/>
        </w:rPr>
        <w:t xml:space="preserve">Challenges of the implementation of BPM-CXM approach also exist. While citizen involvement can be a meaningful instrument, considering the nature of their goals which can be misaligned with the organizational strategy, it might not primarily contribute to process optimization in economic terms </w:t>
      </w:r>
      <w:r w:rsidRPr="002A63BA">
        <w:rPr>
          <w:rFonts w:ascii="Open Sans" w:eastAsia="Calibri" w:hAnsi="Open Sans" w:cs="Open Sans"/>
          <w:iCs/>
          <w:color w:val="000000" w:themeColor="text1"/>
          <w:shd w:val="clear" w:color="auto" w:fill="FFFFFF"/>
          <w:lang w:eastAsia="en-GB"/>
        </w:rPr>
        <w:fldChar w:fldCharType="begin" w:fldLock="1"/>
      </w:r>
      <w:r w:rsidRPr="002A63BA">
        <w:rPr>
          <w:rFonts w:ascii="Open Sans" w:eastAsia="Calibri" w:hAnsi="Open Sans" w:cs="Open Sans"/>
          <w:iCs/>
          <w:color w:val="000000" w:themeColor="text1"/>
          <w:shd w:val="clear" w:color="auto" w:fill="FFFFFF"/>
          <w:lang w:eastAsia="en-GB"/>
        </w:rPr>
        <w:instrText>ADDIN CSL_CITATION {"citationItems":[{"id":"ITEM-1","itemData":{"DOI":"10.1007/978-3-642-03516-6_21","ISBN":"3642035159","ISSN":"03029743","abstract":"'Open Innovation' has been heavily discussed for product innovations; however, an information systems (IS) perspective on 'process innovation' has not yet been taken. Analyzing the example of the public sector in Germany, the paper seeks to investigate the factors that hinder and support 'open process innovation', a concept we define as the involvement of citizens in business process management (BPM) activities. With the help of a quantitative study (n=358), six factors are examined for their impact on citizen involvement in local government BPM initiatives. The results show that citizen involvement in reform processes is not primarily motivated by the aim of cost reduction, but rather related to legitimacy reasons and the intent to increase employee motivation. Based on these findings, implications for (design) theory and practice are discussed: Instead of detailed collaborative business processes modeling, the key of citizen involvement in public sector BPM lies in communication and mutual understanding. © 2009 Springer Berlin Heidelberg.","author":[{"dropping-particle":"","family":"Niehaves","given":"Björn","non-dropping-particle":"","parse-names":false,"suffix":""},{"dropping-particle":"","family":"Malsch","given":"Robert","non-dropping-particle":"","parse-names":false,"suffix":""}],"container-title":"Lecture Notes in Computer Science (including subseries Lecture Notes in Artificial Intelligence and Lecture Notes in Bioinformatics)","id":"ITEM-1","issued":{"date-parts":[["2009"]]},"page":"245-256","title":"Democratizing process innovation? on citizen involvement in public sector BPM","type":"article-journal","volume":"5693 LNCS"},"uris":["http://www.mendeley.com/documents/?uuid=8e31f75c-de7a-4af5-8c9c-99e8d2c77b8f"]}],"mendeley":{"formattedCitation":"(Niehaves and Malsch, 2009)","plainTextFormattedCitation":"(Niehaves and Malsch, 2009)","previouslyFormattedCitation":"(Niehaves and Malsch, 2009)"},"properties":{"noteIndex":0},"schema":"https://github.com/citation-style-language/schema/raw/master/csl-citation.json"}</w:instrText>
      </w:r>
      <w:r w:rsidRPr="002A63BA">
        <w:rPr>
          <w:rFonts w:ascii="Open Sans" w:eastAsia="Calibri" w:hAnsi="Open Sans" w:cs="Open Sans"/>
          <w:iCs/>
          <w:color w:val="000000" w:themeColor="text1"/>
          <w:shd w:val="clear" w:color="auto" w:fill="FFFFFF"/>
          <w:lang w:eastAsia="en-GB"/>
        </w:rPr>
        <w:fldChar w:fldCharType="separate"/>
      </w:r>
      <w:r w:rsidRPr="002A63BA">
        <w:rPr>
          <w:rFonts w:ascii="Open Sans" w:eastAsia="Calibri" w:hAnsi="Open Sans" w:cs="Open Sans"/>
          <w:iCs/>
          <w:noProof/>
          <w:color w:val="000000" w:themeColor="text1"/>
          <w:shd w:val="clear" w:color="auto" w:fill="FFFFFF"/>
          <w:lang w:eastAsia="en-GB"/>
        </w:rPr>
        <w:t>(Niehaves and Malsch, 2009)</w:t>
      </w:r>
      <w:r w:rsidRPr="002A63BA">
        <w:rPr>
          <w:rFonts w:ascii="Open Sans" w:eastAsia="Calibri" w:hAnsi="Open Sans" w:cs="Open Sans"/>
          <w:iCs/>
          <w:color w:val="000000" w:themeColor="text1"/>
          <w:shd w:val="clear" w:color="auto" w:fill="FFFFFF"/>
          <w:lang w:eastAsia="en-GB"/>
        </w:rPr>
        <w:fldChar w:fldCharType="end"/>
      </w:r>
      <w:r w:rsidRPr="002A63BA">
        <w:rPr>
          <w:rFonts w:ascii="Open Sans" w:eastAsia="Calibri" w:hAnsi="Open Sans" w:cs="Open Sans"/>
          <w:iCs/>
          <w:color w:val="000000" w:themeColor="text1"/>
          <w:shd w:val="clear" w:color="auto" w:fill="FFFFFF"/>
          <w:lang w:eastAsia="en-GB"/>
        </w:rPr>
        <w:t>. Furthermore, it is always a challenge to change the existing organizational structures for whatever reason. The approach requires openness of employees towards change, which is sometimes the most significant challenge within the organization. It is relatively complex and requires strong support from the management of the organization. It also requires good cooperation of all the stakeholders during the implementation. This is relevant for the process, organizational and technological aspect. Stakeholders should also have a clear understanding of the goals and benefits of the approach in order to minimize the eventual resistance to change, that could have negative implications on the overall smart city implementation journey.</w:t>
      </w:r>
    </w:p>
    <w:p w14:paraId="1819E1CE" w14:textId="77777777" w:rsidR="00AE101A" w:rsidRPr="002A63BA" w:rsidRDefault="00AE101A" w:rsidP="00D22056">
      <w:pPr>
        <w:pStyle w:val="N1"/>
      </w:pPr>
      <w:r w:rsidRPr="002A63BA">
        <w:t>REFERENCES</w:t>
      </w:r>
    </w:p>
    <w:p w14:paraId="33F85588"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color w:val="000000" w:themeColor="text1"/>
        </w:rPr>
        <w:fldChar w:fldCharType="begin" w:fldLock="1"/>
      </w:r>
      <w:r w:rsidRPr="002A63BA">
        <w:rPr>
          <w:rFonts w:ascii="Open Sans" w:hAnsi="Open Sans" w:cs="Open Sans"/>
          <w:color w:val="000000" w:themeColor="text1"/>
        </w:rPr>
        <w:instrText xml:space="preserve">ADDIN Mendeley Bibliography CSL_BIBLIOGRAPHY </w:instrText>
      </w:r>
      <w:r w:rsidRPr="002A63BA">
        <w:rPr>
          <w:rFonts w:ascii="Open Sans" w:hAnsi="Open Sans" w:cs="Open Sans"/>
          <w:color w:val="000000" w:themeColor="text1"/>
        </w:rPr>
        <w:fldChar w:fldCharType="separate"/>
      </w:r>
      <w:r w:rsidRPr="002A63BA">
        <w:rPr>
          <w:rFonts w:ascii="Open Sans" w:hAnsi="Open Sans" w:cs="Open Sans"/>
          <w:noProof/>
        </w:rPr>
        <w:t xml:space="preserve">Alt, R., Puschmann, T. (2005). Developing customer process orientation: the case of Pharma Corp. </w:t>
      </w:r>
      <w:r w:rsidRPr="002A63BA">
        <w:rPr>
          <w:rFonts w:ascii="Open Sans" w:hAnsi="Open Sans" w:cs="Open Sans"/>
          <w:i/>
          <w:iCs/>
          <w:noProof/>
        </w:rPr>
        <w:t>Business Process Management Journal</w:t>
      </w:r>
      <w:r w:rsidRPr="002A63BA">
        <w:rPr>
          <w:rFonts w:ascii="Open Sans" w:hAnsi="Open Sans" w:cs="Open Sans"/>
          <w:noProof/>
        </w:rPr>
        <w:t>, 11(4), pp. 297–315.</w:t>
      </w:r>
    </w:p>
    <w:p w14:paraId="58F61700"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Becker, J., Niehaves, B., Malsbender, A., Ortbach, K., Plattfault, R., Pöppelbuß, J. (2011). Taking a BPM Lifecycle View on Service Productivity: Results from a Literature Analysis. </w:t>
      </w:r>
      <w:r w:rsidRPr="002A63BA">
        <w:rPr>
          <w:rFonts w:ascii="Open Sans" w:hAnsi="Open Sans" w:cs="Open Sans"/>
          <w:i/>
          <w:iCs/>
          <w:noProof/>
        </w:rPr>
        <w:t>Proceedings of the 11th International RESER Conference</w:t>
      </w:r>
      <w:r w:rsidRPr="002A63BA">
        <w:rPr>
          <w:rFonts w:ascii="Open Sans" w:hAnsi="Open Sans" w:cs="Open Sans"/>
          <w:noProof/>
        </w:rPr>
        <w:t>, pp. 1–20.</w:t>
      </w:r>
    </w:p>
    <w:p w14:paraId="73DD379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Bergh, J. Van den, Thijs, S., Viaene, S. (2014). </w:t>
      </w:r>
      <w:r w:rsidRPr="002A63BA">
        <w:rPr>
          <w:rFonts w:ascii="Open Sans" w:hAnsi="Open Sans" w:cs="Open Sans"/>
          <w:i/>
          <w:iCs/>
          <w:noProof/>
        </w:rPr>
        <w:t>Transforming Through Processes Leading Voices on BPM, People and Technology</w:t>
      </w:r>
      <w:r w:rsidRPr="002A63BA">
        <w:rPr>
          <w:rFonts w:ascii="Open Sans" w:hAnsi="Open Sans" w:cs="Open Sans"/>
          <w:noProof/>
        </w:rPr>
        <w:t xml:space="preserve">. London: Springer </w:t>
      </w:r>
      <w:r w:rsidRPr="002A63BA">
        <w:rPr>
          <w:rFonts w:ascii="Open Sans" w:hAnsi="Open Sans" w:cs="Open Sans"/>
          <w:noProof/>
        </w:rPr>
        <w:lastRenderedPageBreak/>
        <w:t>International Publishing.</w:t>
      </w:r>
    </w:p>
    <w:p w14:paraId="08AB48FF"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Bernardo, R., Galvina, S. V. R., de Pádua, S. I. D. (2017) The BPM lifecycle: How to incorporate a view external to the organization through dynamic capability. </w:t>
      </w:r>
      <w:r w:rsidRPr="002A63BA">
        <w:rPr>
          <w:rFonts w:ascii="Open Sans" w:hAnsi="Open Sans" w:cs="Open Sans"/>
          <w:i/>
          <w:iCs/>
          <w:noProof/>
        </w:rPr>
        <w:t>Business Process Management Journal</w:t>
      </w:r>
      <w:r w:rsidRPr="002A63BA">
        <w:rPr>
          <w:rFonts w:ascii="Open Sans" w:hAnsi="Open Sans" w:cs="Open Sans"/>
          <w:noProof/>
        </w:rPr>
        <w:t>, 23(1), pp. 155–157.</w:t>
      </w:r>
    </w:p>
    <w:p w14:paraId="2E1C12B7"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Bolton, M. (2004). Customer centric business processing.</w:t>
      </w:r>
      <w:r w:rsidRPr="002A63BA">
        <w:rPr>
          <w:rFonts w:ascii="Open Sans" w:hAnsi="Open Sans" w:cs="Open Sans"/>
          <w:i/>
          <w:iCs/>
          <w:noProof/>
        </w:rPr>
        <w:t xml:space="preserve"> International Journal of Productivity and Performance Management</w:t>
      </w:r>
      <w:r w:rsidRPr="002A63BA">
        <w:rPr>
          <w:rFonts w:ascii="Open Sans" w:hAnsi="Open Sans" w:cs="Open Sans"/>
          <w:noProof/>
        </w:rPr>
        <w:t>, 53(1), pp. 44–51. doi: 10.1108/17410400410509950.</w:t>
      </w:r>
    </w:p>
    <w:p w14:paraId="0606B32D"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Botha, G. J., Kruger, P. S., de Vries, M. (2012). Enhancing customer experience through business process improvement: An application of the enhanced customer experience framework (ECEF). </w:t>
      </w:r>
      <w:r w:rsidRPr="002A63BA">
        <w:rPr>
          <w:rFonts w:ascii="Open Sans" w:hAnsi="Open Sans" w:cs="Open Sans"/>
          <w:i/>
          <w:iCs/>
          <w:noProof/>
        </w:rPr>
        <w:t>South African Journal of Industrial Engineering</w:t>
      </w:r>
      <w:r w:rsidRPr="002A63BA">
        <w:rPr>
          <w:rFonts w:ascii="Open Sans" w:hAnsi="Open Sans" w:cs="Open Sans"/>
          <w:noProof/>
        </w:rPr>
        <w:t>, 23(1), pp. 39–56. doi: 10.7166/23-1-218.</w:t>
      </w:r>
    </w:p>
    <w:p w14:paraId="4A147DC5"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Botha, G. J., Rensburg, A. C. van (2010). Proposed Business Process Improvement Model With Integrated Customer Experience Management. </w:t>
      </w:r>
      <w:r w:rsidRPr="002A63BA">
        <w:rPr>
          <w:rFonts w:ascii="Open Sans" w:hAnsi="Open Sans" w:cs="Open Sans"/>
          <w:i/>
          <w:iCs/>
          <w:noProof/>
        </w:rPr>
        <w:t>South African Journal of Industrial Engineering</w:t>
      </w:r>
      <w:r w:rsidRPr="002A63BA">
        <w:rPr>
          <w:rFonts w:ascii="Open Sans" w:hAnsi="Open Sans" w:cs="Open Sans"/>
          <w:noProof/>
        </w:rPr>
        <w:t>, 21(1), pp. 45–57.</w:t>
      </w:r>
    </w:p>
    <w:p w14:paraId="0F29BFCB"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Brocke, H., Uebernickel, F., Brenner, W. (2010). A methodical procedure for designing consumer oriented on-demand IT service propositions. </w:t>
      </w:r>
      <w:r w:rsidRPr="002A63BA">
        <w:rPr>
          <w:rFonts w:ascii="Open Sans" w:hAnsi="Open Sans" w:cs="Open Sans"/>
          <w:i/>
          <w:iCs/>
          <w:noProof/>
        </w:rPr>
        <w:t>Information Systems and e-Business Management</w:t>
      </w:r>
      <w:r w:rsidRPr="002A63BA">
        <w:rPr>
          <w:rFonts w:ascii="Open Sans" w:hAnsi="Open Sans" w:cs="Open Sans"/>
          <w:noProof/>
        </w:rPr>
        <w:t>, 9(2), pp. 283–302. doi: 10.1007/s10257-010-0147-z.</w:t>
      </w:r>
    </w:p>
    <w:p w14:paraId="4FAF7E53"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vom Brocke, J., Rosemann, M. (2010). The Six Core Elements of Business Process Management. In: Vom Brocke, J. and Rosemann, M. (eds). </w:t>
      </w:r>
      <w:r w:rsidRPr="002A63BA">
        <w:rPr>
          <w:rFonts w:ascii="Open Sans" w:hAnsi="Open Sans" w:cs="Open Sans"/>
          <w:i/>
          <w:iCs/>
          <w:noProof/>
        </w:rPr>
        <w:t>Handbook on Business Process Management 1</w:t>
      </w:r>
      <w:r w:rsidRPr="002A63BA">
        <w:rPr>
          <w:rFonts w:ascii="Open Sans" w:hAnsi="Open Sans" w:cs="Open Sans"/>
          <w:noProof/>
        </w:rPr>
        <w:t>. Springer Heidelberg Dordrecht London New York, p. 622.</w:t>
      </w:r>
    </w:p>
    <w:p w14:paraId="1A8E1D1B"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Chen, H., Daugherty, P. J., Landry, T. D. (2009). Supply chain process integration: A theoretical framework. </w:t>
      </w:r>
      <w:r w:rsidRPr="002A63BA">
        <w:rPr>
          <w:rFonts w:ascii="Open Sans" w:hAnsi="Open Sans" w:cs="Open Sans"/>
          <w:i/>
          <w:iCs/>
          <w:noProof/>
        </w:rPr>
        <w:t>Journal of Business Logistics</w:t>
      </w:r>
      <w:r w:rsidRPr="002A63BA">
        <w:rPr>
          <w:rFonts w:ascii="Open Sans" w:hAnsi="Open Sans" w:cs="Open Sans"/>
          <w:noProof/>
        </w:rPr>
        <w:t>, 30(2), pp. 27–46.</w:t>
      </w:r>
    </w:p>
    <w:p w14:paraId="58FF5E50"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City of Zagreb (2018). Integrated Action Plan City of Zagreb. SmartImpact: City of Zagreb IAP, (May).</w:t>
      </w:r>
    </w:p>
    <w:p w14:paraId="57D2042B"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Davis, R. (2011). It’s the Customer Journey That Counts. </w:t>
      </w:r>
      <w:r w:rsidRPr="002A63BA">
        <w:rPr>
          <w:rFonts w:ascii="Open Sans" w:hAnsi="Open Sans" w:cs="Open Sans"/>
          <w:i/>
          <w:iCs/>
          <w:noProof/>
        </w:rPr>
        <w:t>A BPTrends Column</w:t>
      </w:r>
      <w:r w:rsidRPr="002A63BA">
        <w:rPr>
          <w:rFonts w:ascii="Open Sans" w:hAnsi="Open Sans" w:cs="Open Sans"/>
          <w:noProof/>
        </w:rPr>
        <w:t>, pp. 1–5.</w:t>
      </w:r>
    </w:p>
    <w:p w14:paraId="2EF6CF0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Dumas, M., La Rosa, M., Mendling, J., Reijers, H. A. (2018). </w:t>
      </w:r>
      <w:r w:rsidRPr="002A63BA">
        <w:rPr>
          <w:rFonts w:ascii="Open Sans" w:hAnsi="Open Sans" w:cs="Open Sans"/>
          <w:i/>
          <w:iCs/>
          <w:noProof/>
        </w:rPr>
        <w:t>Fundamentals of business process management</w:t>
      </w:r>
      <w:r w:rsidRPr="002A63BA">
        <w:rPr>
          <w:rFonts w:ascii="Open Sans" w:hAnsi="Open Sans" w:cs="Open Sans"/>
          <w:noProof/>
        </w:rPr>
        <w:t>. Berlin: Springer-Verlag Berlin Heidelberg.</w:t>
      </w:r>
    </w:p>
    <w:p w14:paraId="4D71C8A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Esfahani, M. D., Rahman, A. A., Zakaria, N. H. (2013). Customer Oriented Business Process Improvement Metodology for Public Sector Organizations. </w:t>
      </w:r>
      <w:r w:rsidRPr="002A63BA">
        <w:rPr>
          <w:rFonts w:ascii="Open Sans" w:hAnsi="Open Sans" w:cs="Open Sans"/>
          <w:i/>
          <w:iCs/>
          <w:noProof/>
        </w:rPr>
        <w:t>Proceedings - Pacific Asia Conference on Information Systems</w:t>
      </w:r>
      <w:r w:rsidRPr="002A63BA">
        <w:rPr>
          <w:rFonts w:ascii="Open Sans" w:hAnsi="Open Sans" w:cs="Open Sans"/>
          <w:noProof/>
        </w:rPr>
        <w:t>.</w:t>
      </w:r>
    </w:p>
    <w:p w14:paraId="212B07C8"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lastRenderedPageBreak/>
        <w:t xml:space="preserve">Flint, D. J., Larsson, E., Gammelgaard, B., Mentzer, J. T. (2005). Logistics innovation: A customer value-oriented social process. </w:t>
      </w:r>
      <w:r w:rsidRPr="002A63BA">
        <w:rPr>
          <w:rFonts w:ascii="Open Sans" w:hAnsi="Open Sans" w:cs="Open Sans"/>
          <w:i/>
          <w:iCs/>
          <w:noProof/>
        </w:rPr>
        <w:t>Journal of Business Logistics</w:t>
      </w:r>
      <w:r w:rsidRPr="002A63BA">
        <w:rPr>
          <w:rFonts w:ascii="Open Sans" w:hAnsi="Open Sans" w:cs="Open Sans"/>
          <w:noProof/>
        </w:rPr>
        <w:t>, 26(1), pp. 113–147.</w:t>
      </w:r>
    </w:p>
    <w:p w14:paraId="0AD65315"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Frank, L., Poll, R., Röglinger, M., Rupprecht, L. (2020). Design heuristics for customer-centric business processes. </w:t>
      </w:r>
      <w:r w:rsidRPr="002A63BA">
        <w:rPr>
          <w:rFonts w:ascii="Open Sans" w:hAnsi="Open Sans" w:cs="Open Sans"/>
          <w:i/>
          <w:iCs/>
          <w:noProof/>
        </w:rPr>
        <w:t>Business Process Management Journal</w:t>
      </w:r>
      <w:r w:rsidRPr="002A63BA">
        <w:rPr>
          <w:rFonts w:ascii="Open Sans" w:hAnsi="Open Sans" w:cs="Open Sans"/>
          <w:noProof/>
        </w:rPr>
        <w:t>, 26(6), pp. 1283–1305. doi: 10.1108/BPMJ-06-2019-0257.</w:t>
      </w:r>
    </w:p>
    <w:p w14:paraId="5B3E14C9"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Gersch, M., Hewing, M., Schöler, B. (2011). Business Process Blueprinting – an enhanced view on process performance. </w:t>
      </w:r>
      <w:r w:rsidRPr="002A63BA">
        <w:rPr>
          <w:rFonts w:ascii="Open Sans" w:hAnsi="Open Sans" w:cs="Open Sans"/>
          <w:i/>
          <w:iCs/>
          <w:noProof/>
        </w:rPr>
        <w:t>Business Process Management Journal</w:t>
      </w:r>
      <w:r w:rsidRPr="002A63BA">
        <w:rPr>
          <w:rFonts w:ascii="Open Sans" w:hAnsi="Open Sans" w:cs="Open Sans"/>
          <w:noProof/>
        </w:rPr>
        <w:t>, 17(5), pp. 732–747.</w:t>
      </w:r>
    </w:p>
    <w:p w14:paraId="77B039C9"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Gloppen, J., Lindquister, B., Daae, H.-P. (2016). The customer journey as a tool for business innovation and transformation. In: DeFillippi, R., Rieple, A., Wikström, P. (eds). </w:t>
      </w:r>
      <w:r w:rsidRPr="002A63BA">
        <w:rPr>
          <w:rFonts w:ascii="Open Sans" w:hAnsi="Open Sans" w:cs="Open Sans"/>
          <w:i/>
          <w:iCs/>
          <w:noProof/>
        </w:rPr>
        <w:t>International Perspectives on Business Innovation and Disruption in Design</w:t>
      </w:r>
      <w:r w:rsidRPr="002A63BA">
        <w:rPr>
          <w:rFonts w:ascii="Open Sans" w:hAnsi="Open Sans" w:cs="Open Sans"/>
          <w:noProof/>
        </w:rPr>
        <w:t>, pp. 118–136.</w:t>
      </w:r>
    </w:p>
    <w:p w14:paraId="3EA5BAE6"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Gustafsson, A., Johnson, M. D. (2006). Improving Customer Satisfaction, Loyalty, and Profit: An Integrated Measurement and Management System’, John Wiley &amp; Sons.</w:t>
      </w:r>
    </w:p>
    <w:p w14:paraId="76FFCC2A"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Heckl, D., Moormann, J. (2007). Matching customer processes with business processes of banks: The example of small and medium-sized enterprises as bank customers. </w:t>
      </w:r>
      <w:r w:rsidRPr="002A63BA">
        <w:rPr>
          <w:rFonts w:ascii="Open Sans" w:hAnsi="Open Sans" w:cs="Open Sans"/>
          <w:i/>
          <w:iCs/>
          <w:noProof/>
        </w:rPr>
        <w:t>Lecture Notes in Computer Science (including subseries Lecture Notes in Artificial Intelligence and Lecture Notes in Bioinformatics)</w:t>
      </w:r>
      <w:r w:rsidRPr="002A63BA">
        <w:rPr>
          <w:rFonts w:ascii="Open Sans" w:hAnsi="Open Sans" w:cs="Open Sans"/>
          <w:noProof/>
        </w:rPr>
        <w:t>, 4714 LNCS, pp. 112–124. doi: 10.1007/978-3-540-75183-0_9.</w:t>
      </w:r>
    </w:p>
    <w:p w14:paraId="4E48537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Van Hee, K. M., Reijers, H. A. (2000). Using Formal Analysis Techniques in Business Process Redesign. </w:t>
      </w:r>
      <w:r w:rsidRPr="002A63BA">
        <w:rPr>
          <w:rFonts w:ascii="Open Sans" w:hAnsi="Open Sans" w:cs="Open Sans"/>
          <w:i/>
          <w:iCs/>
          <w:noProof/>
        </w:rPr>
        <w:t>Business Process Management</w:t>
      </w:r>
      <w:r w:rsidRPr="002A63BA">
        <w:rPr>
          <w:rFonts w:ascii="Open Sans" w:hAnsi="Open Sans" w:cs="Open Sans"/>
          <w:noProof/>
        </w:rPr>
        <w:t>, pp. 142–160. doi: 10.1007/3-540-45594-9_10.</w:t>
      </w:r>
    </w:p>
    <w:p w14:paraId="47B66E1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Helmy, Y. M., Abdelgaber, S., Fahmy, H., Montasser, H.S. (2020). A conceptual ontological framework for managing the social business process to enhance customer experience. </w:t>
      </w:r>
      <w:r w:rsidRPr="002A63BA">
        <w:rPr>
          <w:rFonts w:ascii="Open Sans" w:hAnsi="Open Sans" w:cs="Open Sans"/>
          <w:i/>
          <w:iCs/>
          <w:noProof/>
        </w:rPr>
        <w:t>Knowledge and Process Management</w:t>
      </w:r>
      <w:r w:rsidRPr="002A63BA">
        <w:rPr>
          <w:rFonts w:ascii="Open Sans" w:hAnsi="Open Sans" w:cs="Open Sans"/>
          <w:noProof/>
        </w:rPr>
        <w:t>, 27(4), pp. 262–271. doi: 10.1002/kpm.1652.</w:t>
      </w:r>
    </w:p>
    <w:p w14:paraId="3CA975B7"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Jeet, V. (2017). Convergence of IoT and BPM for Smarter Cities. DQINDIA ONLINE.</w:t>
      </w:r>
    </w:p>
    <w:p w14:paraId="4C15CAC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Johnston, R., Kong, X. (2011). The Customer Experience</w:t>
      </w:r>
      <w:r w:rsidRPr="002A63BA">
        <w:rPr>
          <w:rFonts w:ascii="Arial" w:hAnsi="Arial" w:cs="Arial"/>
          <w:noProof/>
        </w:rPr>
        <w:t> </w:t>
      </w:r>
      <w:r w:rsidRPr="002A63BA">
        <w:rPr>
          <w:rFonts w:ascii="Open Sans" w:hAnsi="Open Sans" w:cs="Open Sans"/>
          <w:noProof/>
        </w:rPr>
        <w:t xml:space="preserve">: A Road Map for Improvement. </w:t>
      </w:r>
      <w:r w:rsidRPr="002A63BA">
        <w:rPr>
          <w:rFonts w:ascii="Open Sans" w:hAnsi="Open Sans" w:cs="Open Sans"/>
          <w:i/>
          <w:iCs/>
          <w:noProof/>
        </w:rPr>
        <w:t>Managing Service Quality</w:t>
      </w:r>
      <w:r w:rsidRPr="002A63BA">
        <w:rPr>
          <w:rFonts w:ascii="Open Sans" w:hAnsi="Open Sans" w:cs="Open Sans"/>
          <w:noProof/>
        </w:rPr>
        <w:t>, 21(1), pp. 5–24.</w:t>
      </w:r>
    </w:p>
    <w:p w14:paraId="7B10A08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Kaplan, R. S., Norton, D. P. (1996). Linking the Balanced Scorecard to </w:t>
      </w:r>
      <w:r w:rsidRPr="002A63BA">
        <w:rPr>
          <w:rFonts w:ascii="Open Sans" w:hAnsi="Open Sans" w:cs="Open Sans"/>
          <w:noProof/>
        </w:rPr>
        <w:lastRenderedPageBreak/>
        <w:t xml:space="preserve">Strategy. </w:t>
      </w:r>
      <w:r w:rsidRPr="002A63BA">
        <w:rPr>
          <w:rFonts w:ascii="Open Sans" w:hAnsi="Open Sans" w:cs="Open Sans"/>
          <w:i/>
          <w:iCs/>
          <w:noProof/>
        </w:rPr>
        <w:t>California Management Review</w:t>
      </w:r>
      <w:r w:rsidRPr="002A63BA">
        <w:rPr>
          <w:rFonts w:ascii="Open Sans" w:hAnsi="Open Sans" w:cs="Open Sans"/>
          <w:noProof/>
        </w:rPr>
        <w:t>, 39(1).</w:t>
      </w:r>
    </w:p>
    <w:p w14:paraId="47EA9D3A"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Kapulin, D. V., Russkikh, P. A., Moor, I. A. (2019). Integration capabilities of business process models and ERP-systems. </w:t>
      </w:r>
      <w:r w:rsidRPr="002A63BA">
        <w:rPr>
          <w:rFonts w:ascii="Open Sans" w:hAnsi="Open Sans" w:cs="Open Sans"/>
          <w:i/>
          <w:iCs/>
          <w:noProof/>
        </w:rPr>
        <w:t>Journal of Physics: Conference Series</w:t>
      </w:r>
      <w:r w:rsidRPr="002A63BA">
        <w:rPr>
          <w:rFonts w:ascii="Open Sans" w:hAnsi="Open Sans" w:cs="Open Sans"/>
          <w:noProof/>
        </w:rPr>
        <w:t>, 1333(7). doi: 10.1088/1742-6596/1333/7/072009.</w:t>
      </w:r>
    </w:p>
    <w:p w14:paraId="0E9E999B"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Klose, K., Knackstedt, R., Becker, J. (2005). Process modelling for service processes: Modelling methods extensions for specifying and analysing customer integration. </w:t>
      </w:r>
      <w:r w:rsidRPr="002A63BA">
        <w:rPr>
          <w:rFonts w:ascii="Open Sans" w:hAnsi="Open Sans" w:cs="Open Sans"/>
          <w:i/>
          <w:iCs/>
          <w:noProof/>
        </w:rPr>
        <w:t>ICEIS 2005 - Proceedings of the 7th International Conference on Enterprise Information Systems</w:t>
      </w:r>
      <w:r w:rsidRPr="002A63BA">
        <w:rPr>
          <w:rFonts w:ascii="Open Sans" w:hAnsi="Open Sans" w:cs="Open Sans"/>
          <w:noProof/>
        </w:rPr>
        <w:t>, pp. 260–265. doi: 10.5220/0002534202600265.</w:t>
      </w:r>
    </w:p>
    <w:p w14:paraId="7577997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Kohlbacher, M., Weitlaner, D. (2011). Process cascade- and segmentation-based organizational design: A case study. </w:t>
      </w:r>
      <w:r w:rsidRPr="002A63BA">
        <w:rPr>
          <w:rFonts w:ascii="Open Sans" w:hAnsi="Open Sans" w:cs="Open Sans"/>
          <w:i/>
          <w:iCs/>
          <w:noProof/>
        </w:rPr>
        <w:t>IEEE International Conference on Industrial Engineering and Engineering Management</w:t>
      </w:r>
      <w:r w:rsidRPr="002A63BA">
        <w:rPr>
          <w:rFonts w:ascii="Open Sans" w:hAnsi="Open Sans" w:cs="Open Sans"/>
          <w:noProof/>
        </w:rPr>
        <w:t>, pp. 1343–1347. doi: 10.1109/IEEM.2011.6118135.</w:t>
      </w:r>
    </w:p>
    <w:p w14:paraId="0848238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Kreuzer, T., Röglinger, M., Rupprecht, L. (2020). Customer-centric prioritization of process improvement projects. </w:t>
      </w:r>
      <w:r w:rsidRPr="002A63BA">
        <w:rPr>
          <w:rFonts w:ascii="Open Sans" w:hAnsi="Open Sans" w:cs="Open Sans"/>
          <w:i/>
          <w:iCs/>
          <w:noProof/>
        </w:rPr>
        <w:t>Decision Support Systems</w:t>
      </w:r>
      <w:r w:rsidRPr="002A63BA">
        <w:rPr>
          <w:rFonts w:ascii="Open Sans" w:hAnsi="Open Sans" w:cs="Open Sans"/>
          <w:noProof/>
        </w:rPr>
        <w:t>, 133. doi: 10.1016/j.dss.2020.113286.</w:t>
      </w:r>
    </w:p>
    <w:p w14:paraId="5286F6A3"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Kumar, V., Smart, P.A., Maddern, H., Maull, R.S. (2008). Alternative perspectives on service quality and customer satisfaction: the role of BPM. </w:t>
      </w:r>
      <w:r w:rsidRPr="002A63BA">
        <w:rPr>
          <w:rFonts w:ascii="Open Sans" w:hAnsi="Open Sans" w:cs="Open Sans"/>
          <w:i/>
          <w:iCs/>
          <w:noProof/>
        </w:rPr>
        <w:t>International Journal of Service Industry Management</w:t>
      </w:r>
      <w:r w:rsidRPr="002A63BA">
        <w:rPr>
          <w:rFonts w:ascii="Open Sans" w:hAnsi="Open Sans" w:cs="Open Sans"/>
          <w:noProof/>
        </w:rPr>
        <w:t>, 19(2), pp. 176–187.</w:t>
      </w:r>
    </w:p>
    <w:p w14:paraId="1EB09ED6"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Lee, C.-H., Huang, S. Y., Barnes, F. B., Kao, Li. (2010). Business performance and customer relationship management: The effect of IT, organisational contingency and business process on Taiwanese manufacturers. </w:t>
      </w:r>
      <w:r w:rsidRPr="002A63BA">
        <w:rPr>
          <w:rFonts w:ascii="Open Sans" w:hAnsi="Open Sans" w:cs="Open Sans"/>
          <w:i/>
          <w:iCs/>
          <w:noProof/>
        </w:rPr>
        <w:t>Total Quality Management &amp; Business Excellence</w:t>
      </w:r>
      <w:r w:rsidRPr="002A63BA">
        <w:rPr>
          <w:rFonts w:ascii="Open Sans" w:hAnsi="Open Sans" w:cs="Open Sans"/>
          <w:noProof/>
        </w:rPr>
        <w:t>, 21(1), pp. 43–65.</w:t>
      </w:r>
    </w:p>
    <w:p w14:paraId="78CA467D"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Lee, E., Karahasanović, A. (2013). Can Business Process Management Benefit from Service Journey Modelling Language?. </w:t>
      </w:r>
      <w:r w:rsidRPr="002A63BA">
        <w:rPr>
          <w:rFonts w:ascii="Open Sans" w:hAnsi="Open Sans" w:cs="Open Sans"/>
          <w:i/>
          <w:iCs/>
          <w:noProof/>
        </w:rPr>
        <w:t>ICSEA 2013, The Eighth International Conference on Software Engineering Advances</w:t>
      </w:r>
      <w:r w:rsidRPr="002A63BA">
        <w:rPr>
          <w:rFonts w:ascii="Open Sans" w:hAnsi="Open Sans" w:cs="Open Sans"/>
          <w:noProof/>
        </w:rPr>
        <w:t>, (c), pp. 579–582.</w:t>
      </w:r>
    </w:p>
    <w:p w14:paraId="02FF25F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Margaria, T., Boßelmann, S., Doedt, M., Floyd, B. D., Steffen, B.  (2012). Customer-Oriented Business Process Management: Vision and Obstacles. </w:t>
      </w:r>
      <w:r w:rsidRPr="002A63BA">
        <w:rPr>
          <w:rFonts w:ascii="Open Sans" w:hAnsi="Open Sans" w:cs="Open Sans"/>
          <w:i/>
          <w:iCs/>
          <w:noProof/>
        </w:rPr>
        <w:t>Conquering Complexity</w:t>
      </w:r>
      <w:r w:rsidRPr="002A63BA">
        <w:rPr>
          <w:rFonts w:ascii="Open Sans" w:hAnsi="Open Sans" w:cs="Open Sans"/>
          <w:noProof/>
        </w:rPr>
        <w:t>, pp. 1–466. doi: 10.1007/978-1-4471-2297-5.</w:t>
      </w:r>
    </w:p>
    <w:p w14:paraId="115F643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Mendling, J., Decker, G., Hull, R., Reijers, H. A., Weber, I. (2018). How do machine learning, robotic process automation, and blockchains affect the human factor in business process management?. </w:t>
      </w:r>
      <w:r w:rsidRPr="002A63BA">
        <w:rPr>
          <w:rFonts w:ascii="Open Sans" w:hAnsi="Open Sans" w:cs="Open Sans"/>
          <w:i/>
          <w:iCs/>
          <w:noProof/>
        </w:rPr>
        <w:t xml:space="preserve">Communications of the </w:t>
      </w:r>
      <w:r w:rsidRPr="002A63BA">
        <w:rPr>
          <w:rFonts w:ascii="Open Sans" w:hAnsi="Open Sans" w:cs="Open Sans"/>
          <w:i/>
          <w:iCs/>
          <w:noProof/>
        </w:rPr>
        <w:lastRenderedPageBreak/>
        <w:t>Association for Information Systems</w:t>
      </w:r>
      <w:r w:rsidRPr="002A63BA">
        <w:rPr>
          <w:rFonts w:ascii="Open Sans" w:hAnsi="Open Sans" w:cs="Open Sans"/>
          <w:noProof/>
        </w:rPr>
        <w:t>, 43(1). pp. 297–320, doi: 10.17705/1CAIS.04319.</w:t>
      </w:r>
    </w:p>
    <w:p w14:paraId="13939D3F"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Meyer, C., Schwager, A. (2007). Understanding Customer Experience. </w:t>
      </w:r>
      <w:r w:rsidRPr="002A63BA">
        <w:rPr>
          <w:rFonts w:ascii="Open Sans" w:hAnsi="Open Sans" w:cs="Open Sans"/>
          <w:i/>
          <w:iCs/>
          <w:noProof/>
        </w:rPr>
        <w:t>Harvard Business Review</w:t>
      </w:r>
      <w:r w:rsidRPr="002A63BA">
        <w:rPr>
          <w:rFonts w:ascii="Open Sans" w:hAnsi="Open Sans" w:cs="Open Sans"/>
          <w:noProof/>
        </w:rPr>
        <w:t>, pp. 116–124.</w:t>
      </w:r>
    </w:p>
    <w:p w14:paraId="2104448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Moormann, J., Palvolgyi, E. Z. (2013). Customer-Centric Business Modeling: Setting a Research Agenda. </w:t>
      </w:r>
      <w:r w:rsidRPr="002A63BA">
        <w:rPr>
          <w:rFonts w:ascii="Open Sans" w:hAnsi="Open Sans" w:cs="Open Sans"/>
          <w:i/>
          <w:iCs/>
          <w:noProof/>
        </w:rPr>
        <w:t>2013 IEEE 15th Conference on Business Informatics</w:t>
      </w:r>
      <w:r w:rsidRPr="002A63BA">
        <w:rPr>
          <w:rFonts w:ascii="Open Sans" w:hAnsi="Open Sans" w:cs="Open Sans"/>
          <w:noProof/>
        </w:rPr>
        <w:t>, pp. 173–179.</w:t>
      </w:r>
    </w:p>
    <w:p w14:paraId="3BC5527F"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Neubauer, T. (2009). An empirical study about the status of business process management. </w:t>
      </w:r>
      <w:r w:rsidRPr="002A63BA">
        <w:rPr>
          <w:rFonts w:ascii="Open Sans" w:hAnsi="Open Sans" w:cs="Open Sans"/>
          <w:i/>
          <w:iCs/>
          <w:noProof/>
        </w:rPr>
        <w:t>Business Process Management Journal</w:t>
      </w:r>
      <w:r w:rsidRPr="002A63BA">
        <w:rPr>
          <w:rFonts w:ascii="Open Sans" w:hAnsi="Open Sans" w:cs="Open Sans"/>
          <w:noProof/>
        </w:rPr>
        <w:t>, 15(2), pp. 166–183.</w:t>
      </w:r>
    </w:p>
    <w:p w14:paraId="1BFAA41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Niehaves, B., Malsch, R. (2009). Democratizing process innovation? On citizen involvement in public sector BPM. </w:t>
      </w:r>
      <w:r w:rsidRPr="002A63BA">
        <w:rPr>
          <w:rFonts w:ascii="Open Sans" w:hAnsi="Open Sans" w:cs="Open Sans"/>
          <w:i/>
          <w:iCs/>
          <w:noProof/>
        </w:rPr>
        <w:t>Lecture Notes in Computer Science (including subseries Lecture Notes in Artificial Intelligence and Lecture Notes in Bioinformatics)</w:t>
      </w:r>
      <w:r w:rsidRPr="002A63BA">
        <w:rPr>
          <w:rFonts w:ascii="Open Sans" w:hAnsi="Open Sans" w:cs="Open Sans"/>
          <w:noProof/>
        </w:rPr>
        <w:t>, 5693 LNCS, pp. 245–256. doi: 10.1007/978-3-642-03516-6_21.</w:t>
      </w:r>
    </w:p>
    <w:p w14:paraId="79769511"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Niehaves, B., Plattfaut, R. (2010). From bureaucratic to quasi-market environments: On the co-evolution of public sector business process management. </w:t>
      </w:r>
      <w:r w:rsidRPr="002A63BA">
        <w:rPr>
          <w:rFonts w:ascii="Open Sans" w:hAnsi="Open Sans" w:cs="Open Sans"/>
          <w:i/>
          <w:iCs/>
          <w:noProof/>
        </w:rPr>
        <w:t>Lecture Notes in Computer Science (including subseries Lecture Notes in Artificial Intelligence and Lecture Notes in Bioinformatics)</w:t>
      </w:r>
      <w:r w:rsidRPr="002A63BA">
        <w:rPr>
          <w:rFonts w:ascii="Open Sans" w:hAnsi="Open Sans" w:cs="Open Sans"/>
          <w:noProof/>
        </w:rPr>
        <w:t>, 6228 LNCS, pp. 387–399. doi: 10.1007/978-3-642-14799-9_33.</w:t>
      </w:r>
    </w:p>
    <w:p w14:paraId="5541B7A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Norton, D. W., Pine II, B. J. (2013). Using the customer journey to road test and refine the business model. </w:t>
      </w:r>
      <w:r w:rsidRPr="002A63BA">
        <w:rPr>
          <w:rFonts w:ascii="Open Sans" w:hAnsi="Open Sans" w:cs="Open Sans"/>
          <w:i/>
          <w:iCs/>
          <w:noProof/>
        </w:rPr>
        <w:t>Strategy &amp; Leadership</w:t>
      </w:r>
      <w:r w:rsidRPr="002A63BA">
        <w:rPr>
          <w:rFonts w:ascii="Open Sans" w:hAnsi="Open Sans" w:cs="Open Sans"/>
          <w:noProof/>
        </w:rPr>
        <w:t>, 41(2), pp. 12–17.</w:t>
      </w:r>
    </w:p>
    <w:p w14:paraId="552F0231"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Osman, C. C., Ghiran, A. M. (2019). Extracting Customer Traces from CRMS: From Software to Process Models. </w:t>
      </w:r>
      <w:r w:rsidRPr="002A63BA">
        <w:rPr>
          <w:rFonts w:ascii="Open Sans" w:hAnsi="Open Sans" w:cs="Open Sans"/>
          <w:i/>
          <w:iCs/>
          <w:noProof/>
        </w:rPr>
        <w:t>Procedia Manufacturing, 32</w:t>
      </w:r>
      <w:r w:rsidRPr="002A63BA">
        <w:rPr>
          <w:rFonts w:ascii="Open Sans" w:hAnsi="Open Sans" w:cs="Open Sans"/>
          <w:noProof/>
        </w:rPr>
        <w:t>, pp. 619–626. doi: 10.1016/j.promfg.2019.02.261.</w:t>
      </w:r>
    </w:p>
    <w:p w14:paraId="0773F60F"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Pavlic, D. (2021). </w:t>
      </w:r>
      <w:r w:rsidRPr="002A63BA">
        <w:rPr>
          <w:rFonts w:ascii="Open Sans" w:hAnsi="Open Sans" w:cs="Open Sans"/>
          <w:i/>
          <w:iCs/>
          <w:noProof/>
        </w:rPr>
        <w:t>Business Process Management and Customer Experience Management Convergence Model</w:t>
      </w:r>
      <w:r w:rsidRPr="002A63BA">
        <w:rPr>
          <w:rFonts w:ascii="Open Sans" w:hAnsi="Open Sans" w:cs="Open Sans"/>
          <w:noProof/>
        </w:rPr>
        <w:t>. Faculty of Economics, University of Split.</w:t>
      </w:r>
    </w:p>
    <w:p w14:paraId="06B35247"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Pavlic, D., Cukusic, M. (2019a). </w:t>
      </w:r>
      <w:r w:rsidRPr="002A63BA">
        <w:rPr>
          <w:rFonts w:ascii="Open Sans" w:hAnsi="Open Sans" w:cs="Open Sans"/>
          <w:i/>
          <w:iCs/>
          <w:noProof/>
        </w:rPr>
        <w:t>Developing a structured approach to converging business process management and customer experience management initiatives. Lecture Notes in Business Information Processing</w:t>
      </w:r>
      <w:r w:rsidRPr="002A63BA">
        <w:rPr>
          <w:rFonts w:ascii="Open Sans" w:hAnsi="Open Sans" w:cs="Open Sans"/>
          <w:noProof/>
        </w:rPr>
        <w:t>. doi: 10.1007/978-3-030-35151-9_10.</w:t>
      </w:r>
    </w:p>
    <w:p w14:paraId="2868237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Pavlic, D., Cukusic, M. (2019b). Developing a Structured Approach to Converging Business Process Management and Customer Experience Management Initiatives. In: Gordijn, J., Guédria, W., Proper, H. A. (eds). </w:t>
      </w:r>
      <w:r w:rsidRPr="002A63BA">
        <w:rPr>
          <w:rFonts w:ascii="Open Sans" w:hAnsi="Open Sans" w:cs="Open Sans"/>
          <w:i/>
          <w:iCs/>
          <w:noProof/>
        </w:rPr>
        <w:t xml:space="preserve">The </w:t>
      </w:r>
      <w:r w:rsidRPr="002A63BA">
        <w:rPr>
          <w:rFonts w:ascii="Open Sans" w:hAnsi="Open Sans" w:cs="Open Sans"/>
          <w:i/>
          <w:iCs/>
          <w:noProof/>
        </w:rPr>
        <w:lastRenderedPageBreak/>
        <w:t>Practice of Enterprise Modeling Developing</w:t>
      </w:r>
      <w:r w:rsidRPr="002A63BA">
        <w:rPr>
          <w:rFonts w:ascii="Open Sans" w:hAnsi="Open Sans" w:cs="Open Sans"/>
          <w:noProof/>
        </w:rPr>
        <w:t>. Springer Nature Switzerland AG.</w:t>
      </w:r>
    </w:p>
    <w:p w14:paraId="3E2481FD"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Payne, A., Frow, P. (2005). A Strategic Framework for Customer Relationship Management. </w:t>
      </w:r>
      <w:r w:rsidRPr="002A63BA">
        <w:rPr>
          <w:rFonts w:ascii="Open Sans" w:hAnsi="Open Sans" w:cs="Open Sans"/>
          <w:i/>
          <w:iCs/>
          <w:noProof/>
        </w:rPr>
        <w:t>Journal of Marketing</w:t>
      </w:r>
      <w:r w:rsidRPr="002A63BA">
        <w:rPr>
          <w:rFonts w:ascii="Open Sans" w:hAnsi="Open Sans" w:cs="Open Sans"/>
          <w:noProof/>
        </w:rPr>
        <w:t>, 69(4), pp. 167–176.</w:t>
      </w:r>
    </w:p>
    <w:p w14:paraId="199B9BE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Rajala, M., Savolainen, T. (1996). A framework for customer oriented business process modelling. </w:t>
      </w:r>
      <w:r w:rsidRPr="002A63BA">
        <w:rPr>
          <w:rFonts w:ascii="Open Sans" w:hAnsi="Open Sans" w:cs="Open Sans"/>
          <w:i/>
          <w:iCs/>
          <w:noProof/>
        </w:rPr>
        <w:t>Computer Integrated Manufacturing Systems</w:t>
      </w:r>
      <w:r w:rsidRPr="002A63BA">
        <w:rPr>
          <w:rFonts w:ascii="Open Sans" w:hAnsi="Open Sans" w:cs="Open Sans"/>
          <w:noProof/>
        </w:rPr>
        <w:t>, 9(3), pp. 127–135.</w:t>
      </w:r>
    </w:p>
    <w:p w14:paraId="01B7DFD5"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Richardson, C. (2016). End of the Road for End-to-End Process Transformation, Blog by Business Process Management, Inc. Available at: http://bpm.com/bpm-today/blogs/1136-end-of-the-road-for-end-to-end-process-transformation (Accessed: 26 April 2017).</w:t>
      </w:r>
    </w:p>
    <w:p w14:paraId="0612A0B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Rosemann, M. (2014). Proposals for future BPM research directions. </w:t>
      </w:r>
      <w:r w:rsidRPr="002A63BA">
        <w:rPr>
          <w:rFonts w:ascii="Open Sans" w:hAnsi="Open Sans" w:cs="Open Sans"/>
          <w:i/>
          <w:iCs/>
          <w:noProof/>
        </w:rPr>
        <w:t>Lecture Notes in Business Information Processing</w:t>
      </w:r>
      <w:r w:rsidRPr="002A63BA">
        <w:rPr>
          <w:rFonts w:ascii="Open Sans" w:hAnsi="Open Sans" w:cs="Open Sans"/>
          <w:noProof/>
        </w:rPr>
        <w:t>, 181 LNBIP, pp. 1–15. doi: 10.1007/978-3-319-08222-6.</w:t>
      </w:r>
    </w:p>
    <w:p w14:paraId="13AD022D"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Rosenbaum, M. S., Otalora, M. L., Contreras Ramírez, G. (2017). How to create a realistic customer journey map.</w:t>
      </w:r>
      <w:r w:rsidRPr="002A63BA">
        <w:rPr>
          <w:rFonts w:ascii="Open Sans" w:hAnsi="Open Sans" w:cs="Open Sans"/>
          <w:i/>
          <w:iCs/>
          <w:noProof/>
        </w:rPr>
        <w:t xml:space="preserve"> Business Horizons</w:t>
      </w:r>
      <w:r w:rsidRPr="002A63BA">
        <w:rPr>
          <w:rFonts w:ascii="Open Sans" w:hAnsi="Open Sans" w:cs="Open Sans"/>
          <w:noProof/>
        </w:rPr>
        <w:t>, 60(1).</w:t>
      </w:r>
    </w:p>
    <w:p w14:paraId="6F39337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Ruland, Y. (2016). Customer experience and its potential to extend business process management. </w:t>
      </w:r>
      <w:r w:rsidRPr="002A63BA">
        <w:rPr>
          <w:rFonts w:ascii="Open Sans" w:hAnsi="Open Sans" w:cs="Open Sans"/>
          <w:i/>
          <w:iCs/>
          <w:noProof/>
        </w:rPr>
        <w:t>Master thesis - FACULTEIT BEDRIJFSECONOMISCHE WETENSCHAPPEN</w:t>
      </w:r>
      <w:r w:rsidRPr="002A63BA">
        <w:rPr>
          <w:rFonts w:ascii="Open Sans" w:hAnsi="Open Sans" w:cs="Open Sans"/>
          <w:noProof/>
        </w:rPr>
        <w:t>, p. 85.</w:t>
      </w:r>
    </w:p>
    <w:p w14:paraId="0077E62A"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Scheer, A.-W. (2000). ARIS — Business Process Modeling. 3rd edn, </w:t>
      </w:r>
      <w:r w:rsidRPr="002A63BA">
        <w:rPr>
          <w:rFonts w:ascii="Open Sans" w:hAnsi="Open Sans" w:cs="Open Sans"/>
          <w:i/>
          <w:iCs/>
          <w:noProof/>
        </w:rPr>
        <w:t>Journal of Chemical Information and Modeling</w:t>
      </w:r>
      <w:r w:rsidRPr="002A63BA">
        <w:rPr>
          <w:rFonts w:ascii="Open Sans" w:hAnsi="Open Sans" w:cs="Open Sans"/>
          <w:noProof/>
        </w:rPr>
        <w:t>. 3rd edn. Berlin: Springer-Verlag Berlin Heidelberg.</w:t>
      </w:r>
    </w:p>
    <w:p w14:paraId="12C57C41"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Scheer, A. W., Jost, W., Heß, H., Kronz, A. (2005). </w:t>
      </w:r>
      <w:r w:rsidRPr="002A63BA">
        <w:rPr>
          <w:rFonts w:ascii="Open Sans" w:hAnsi="Open Sans" w:cs="Open Sans"/>
          <w:i/>
          <w:iCs/>
          <w:noProof/>
        </w:rPr>
        <w:t>Corporate performance management</w:t>
      </w:r>
      <w:r w:rsidRPr="002A63BA">
        <w:rPr>
          <w:rFonts w:ascii="Open Sans" w:hAnsi="Open Sans" w:cs="Open Sans"/>
          <w:noProof/>
        </w:rPr>
        <w:t>. Springer-Verlag Berlin Heidelberg.</w:t>
      </w:r>
    </w:p>
    <w:p w14:paraId="3D3C766C"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Schmiedel, T., Vom Brocke, J., Recker, J. (2014). Development and validation of an instrument to measure organizational cultures’ support of Business Process Management. </w:t>
      </w:r>
      <w:r w:rsidRPr="002A63BA">
        <w:rPr>
          <w:rFonts w:ascii="Open Sans" w:hAnsi="Open Sans" w:cs="Open Sans"/>
          <w:i/>
          <w:iCs/>
          <w:noProof/>
        </w:rPr>
        <w:t>Information and Management</w:t>
      </w:r>
      <w:r w:rsidRPr="002A63BA">
        <w:rPr>
          <w:rFonts w:ascii="Open Sans" w:hAnsi="Open Sans" w:cs="Open Sans"/>
          <w:noProof/>
        </w:rPr>
        <w:t>, 51(1), pp. 43–56.</w:t>
      </w:r>
    </w:p>
    <w:p w14:paraId="5397E40A"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Schmitt, B. H. (2003). </w:t>
      </w:r>
      <w:r w:rsidRPr="002A63BA">
        <w:rPr>
          <w:rFonts w:ascii="Open Sans" w:hAnsi="Open Sans" w:cs="Open Sans"/>
          <w:i/>
          <w:iCs/>
          <w:noProof/>
        </w:rPr>
        <w:t>Customer experience management: A revolutionary approach to connecting with your customers</w:t>
      </w:r>
      <w:r w:rsidRPr="002A63BA">
        <w:rPr>
          <w:rFonts w:ascii="Open Sans" w:hAnsi="Open Sans" w:cs="Open Sans"/>
          <w:noProof/>
        </w:rPr>
        <w:t>. New Jersey: John Wiley &amp; Sons, Inc.</w:t>
      </w:r>
    </w:p>
    <w:p w14:paraId="05142ADA"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Schmitt, B. H. (2010). Experience Marketing: Concepts, Frameworks and Consumer Insights. </w:t>
      </w:r>
      <w:r w:rsidRPr="002A63BA">
        <w:rPr>
          <w:rFonts w:ascii="Open Sans" w:hAnsi="Open Sans" w:cs="Open Sans"/>
          <w:i/>
          <w:iCs/>
          <w:noProof/>
        </w:rPr>
        <w:t>Foundations and Trends® in Marketing</w:t>
      </w:r>
      <w:r w:rsidRPr="002A63BA">
        <w:rPr>
          <w:rFonts w:ascii="Open Sans" w:hAnsi="Open Sans" w:cs="Open Sans"/>
          <w:noProof/>
        </w:rPr>
        <w:t>, 5(2), pp. 55–112.</w:t>
      </w:r>
    </w:p>
    <w:p w14:paraId="71BCB127"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lastRenderedPageBreak/>
        <w:t xml:space="preserve">Temkin, B. D. (2010). Mapping The Customer Journey. </w:t>
      </w:r>
      <w:r w:rsidRPr="002A63BA">
        <w:rPr>
          <w:rFonts w:ascii="Open Sans" w:hAnsi="Open Sans" w:cs="Open Sans"/>
          <w:i/>
          <w:iCs/>
          <w:noProof/>
        </w:rPr>
        <w:t>Forrester Research</w:t>
      </w:r>
      <w:r w:rsidRPr="002A63BA">
        <w:rPr>
          <w:rFonts w:ascii="Open Sans" w:hAnsi="Open Sans" w:cs="Open Sans"/>
          <w:noProof/>
        </w:rPr>
        <w:t>.</w:t>
      </w:r>
    </w:p>
    <w:p w14:paraId="6EE51BB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Trkman, P., Mertens, W., Viaene, S., Gemmel, P. (2015). From business process management to customer process management. </w:t>
      </w:r>
      <w:r w:rsidRPr="002A63BA">
        <w:rPr>
          <w:rFonts w:ascii="Open Sans" w:hAnsi="Open Sans" w:cs="Open Sans"/>
          <w:i/>
          <w:iCs/>
          <w:noProof/>
        </w:rPr>
        <w:t>Business Process Management Journal</w:t>
      </w:r>
      <w:r w:rsidRPr="002A63BA">
        <w:rPr>
          <w:rFonts w:ascii="Open Sans" w:hAnsi="Open Sans" w:cs="Open Sans"/>
          <w:noProof/>
        </w:rPr>
        <w:t>, 21(2), pp. 250–266.</w:t>
      </w:r>
    </w:p>
    <w:p w14:paraId="6664B004"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Vanwersch, R. J. B., Shajhzad, K., Vanderfeesten, I., Vanhaecht, K., Grefen, P., Pintelon, L., Mendling, J., van Merode G. G., Reijers, H. A. (2015). A Critical Evaluation and Framework of Business Process Improvement Methods. </w:t>
      </w:r>
      <w:r w:rsidRPr="002A63BA">
        <w:rPr>
          <w:rFonts w:ascii="Open Sans" w:hAnsi="Open Sans" w:cs="Open Sans"/>
          <w:i/>
          <w:iCs/>
          <w:noProof/>
        </w:rPr>
        <w:t>Business &amp; Information Systems Engineering</w:t>
      </w:r>
      <w:r w:rsidRPr="002A63BA">
        <w:rPr>
          <w:rFonts w:ascii="Open Sans" w:hAnsi="Open Sans" w:cs="Open Sans"/>
          <w:noProof/>
        </w:rPr>
        <w:t>, 58(1), pp. 1–11.</w:t>
      </w:r>
    </w:p>
    <w:p w14:paraId="3FC16B62"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Vidovic, S. (2015). Smart City: From strategic planning to intelligent applications and agile systems. </w:t>
      </w:r>
      <w:r w:rsidRPr="002A63BA">
        <w:rPr>
          <w:rFonts w:ascii="Open Sans" w:hAnsi="Open Sans" w:cs="Open Sans"/>
          <w:i/>
          <w:iCs/>
          <w:noProof/>
        </w:rPr>
        <w:t>DaNTe Conference</w:t>
      </w:r>
      <w:r w:rsidRPr="002A63BA">
        <w:rPr>
          <w:rFonts w:ascii="Open Sans" w:hAnsi="Open Sans" w:cs="Open Sans"/>
          <w:noProof/>
        </w:rPr>
        <w:t>.</w:t>
      </w:r>
    </w:p>
    <w:p w14:paraId="7A4177F3" w14:textId="77777777" w:rsidR="00AE101A" w:rsidRPr="002A63BA" w:rsidRDefault="00AE101A" w:rsidP="00D22056">
      <w:pPr>
        <w:pStyle w:val="Odlomakpopisa"/>
        <w:widowControl w:val="0"/>
        <w:numPr>
          <w:ilvl w:val="0"/>
          <w:numId w:val="13"/>
        </w:numPr>
        <w:autoSpaceDE w:val="0"/>
        <w:autoSpaceDN w:val="0"/>
        <w:adjustRightInd w:val="0"/>
        <w:spacing w:after="240" w:line="276" w:lineRule="auto"/>
        <w:ind w:left="0"/>
        <w:rPr>
          <w:rFonts w:ascii="Open Sans" w:hAnsi="Open Sans" w:cs="Open Sans"/>
          <w:noProof/>
        </w:rPr>
      </w:pPr>
      <w:r w:rsidRPr="002A63BA">
        <w:rPr>
          <w:rFonts w:ascii="Open Sans" w:hAnsi="Open Sans" w:cs="Open Sans"/>
          <w:noProof/>
        </w:rPr>
        <w:t xml:space="preserve">Voorhees, C. M., Fombelle, P. W., Gregoire, Y., Bone, S., Gustafsson, A., Sousa, R., Walkowiak, T. (2017). Service encounters, experiences and the customer journey: Defining the field and a call to expand our lens. </w:t>
      </w:r>
      <w:r w:rsidRPr="002A63BA">
        <w:rPr>
          <w:rFonts w:ascii="Open Sans" w:hAnsi="Open Sans" w:cs="Open Sans"/>
          <w:i/>
          <w:iCs/>
          <w:noProof/>
        </w:rPr>
        <w:t>Journal of Business Research</w:t>
      </w:r>
      <w:r w:rsidRPr="002A63BA">
        <w:rPr>
          <w:rFonts w:ascii="Open Sans" w:hAnsi="Open Sans" w:cs="Open Sans"/>
          <w:noProof/>
        </w:rPr>
        <w:t>, 79 (November 2016), pp. 269–280.</w:t>
      </w:r>
    </w:p>
    <w:p w14:paraId="07C45E24" w14:textId="788C288B" w:rsidR="00AE101A" w:rsidRPr="002A63BA" w:rsidRDefault="00AE101A" w:rsidP="00FF3EE4">
      <w:pPr>
        <w:widowControl w:val="0"/>
        <w:autoSpaceDE w:val="0"/>
        <w:autoSpaceDN w:val="0"/>
        <w:adjustRightInd w:val="0"/>
        <w:spacing w:after="240" w:line="276" w:lineRule="auto"/>
        <w:rPr>
          <w:rFonts w:ascii="Open Sans" w:hAnsi="Open Sans" w:cs="Open Sans"/>
        </w:rPr>
      </w:pPr>
      <w:r w:rsidRPr="002A63BA">
        <w:rPr>
          <w:rFonts w:ascii="Open Sans" w:hAnsi="Open Sans" w:cs="Open Sans"/>
          <w:color w:val="000000" w:themeColor="text1"/>
        </w:rPr>
        <w:fldChar w:fldCharType="end"/>
      </w:r>
      <w:r w:rsidRPr="002A63BA">
        <w:rPr>
          <w:rFonts w:ascii="Open Sans" w:hAnsi="Open Sans" w:cs="Open Sans"/>
        </w:rPr>
        <w:br w:type="page"/>
      </w:r>
    </w:p>
    <w:p w14:paraId="232E416C" w14:textId="00195C59" w:rsidR="00AE101A" w:rsidRPr="002A63BA" w:rsidRDefault="00AE101A" w:rsidP="00FF3EE4">
      <w:pPr>
        <w:spacing w:line="276" w:lineRule="auto"/>
        <w:rPr>
          <w:rFonts w:ascii="Open Sans" w:hAnsi="Open Sans" w:cs="Open Sans"/>
        </w:rPr>
      </w:pPr>
    </w:p>
    <w:p w14:paraId="67F86B9E"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0E37AEAC" w14:textId="625DAEAD" w:rsidR="007C3C4B" w:rsidRPr="00FF3EE4" w:rsidRDefault="007C3C4B" w:rsidP="00FF3EE4">
      <w:pPr>
        <w:spacing w:line="276" w:lineRule="auto"/>
        <w:jc w:val="center"/>
        <w:rPr>
          <w:rFonts w:ascii="Open Sans" w:hAnsi="Open Sans" w:cs="Open Sans"/>
          <w:b/>
          <w:sz w:val="24"/>
          <w:szCs w:val="24"/>
        </w:rPr>
      </w:pPr>
      <w:r w:rsidRPr="002A63BA">
        <w:rPr>
          <w:rFonts w:ascii="Open Sans" w:hAnsi="Open Sans" w:cs="Open Sans"/>
          <w:b/>
          <w:sz w:val="24"/>
          <w:szCs w:val="24"/>
        </w:rPr>
        <w:lastRenderedPageBreak/>
        <w:t>ATTITUDE TOWARDS SMART CITY’S ELEMENTS – SELECTED TRENDS AND A COMPARATIVE STUDY BETWEEN DIFFERENT RESIDENTS</w:t>
      </w:r>
    </w:p>
    <w:p w14:paraId="7D9D7552" w14:textId="5EFC4032" w:rsidR="00AE101A" w:rsidRPr="002A63BA" w:rsidRDefault="00AE101A" w:rsidP="00FF3EE4">
      <w:pPr>
        <w:pStyle w:val="N1"/>
      </w:pPr>
      <w:r w:rsidRPr="002A63BA">
        <w:t>INTRODUCTION</w:t>
      </w:r>
    </w:p>
    <w:p w14:paraId="1CAAC6A6"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The urban population has been rising by 65 million people a year on average. It indicates the highest level of urbanization in history, but as it grows, the environmental pressures intensify as well. The increasing population density in urban areas causes numerous environmental issues. The concerns about sustainability are constantly rising and that is another reason for why a smart environment is highly relevant and should be further addressed. There are several three major trends within the smart environment such as air-quality monitoring, energy-use optimization, and waste reduction. Smart solutions in these fields are extremely promising as their implementation is expected to result in 10-15% fewer greenhouse gas emissions and 30-130 fewer kilograms of solid waste per person per year </w:t>
      </w:r>
      <w:r w:rsidRPr="002A63BA">
        <w:rPr>
          <w:rFonts w:ascii="Open Sans" w:hAnsi="Open Sans" w:cs="Open Sans"/>
        </w:rPr>
        <w:fldChar w:fldCharType="begin"/>
      </w:r>
      <w:r w:rsidRPr="002A63BA">
        <w:rPr>
          <w:rFonts w:ascii="Open Sans" w:hAnsi="Open Sans" w:cs="Open Sans"/>
        </w:rPr>
        <w:instrText xml:space="preserve"> ADDIN EN.CITE &lt;EndNote&gt;&lt;Cite&gt;&lt;Author&gt;Woetzel&lt;/Author&gt;&lt;Year&gt;2018&lt;/Year&gt;&lt;RecNum&gt;278&lt;/RecNum&gt;&lt;DisplayText&gt;(Woetzel et al., 2018)&lt;/DisplayText&gt;&lt;record&gt;&lt;rec-number&gt;278&lt;/rec-number&gt;&lt;foreign-keys&gt;&lt;key app="EN" db-id="9xtppttv1tfpsqedswup2p2w5tvf59x5dt5d" timestamp="1653902669"&gt;278&lt;/key&gt;&lt;/foreign-keys&gt;&lt;ref-type name="Report"&gt;27&lt;/ref-type&gt;&lt;contributors&gt;&lt;authors&gt;&lt;author&gt;Woetzel, Jonathan &lt;/author&gt;&lt;author&gt;Remes, Jaana &lt;/author&gt;&lt;author&gt;Boland, Brodie &lt;/author&gt;&lt;author&gt;Lv, Katrina &lt;/author&gt;&lt;author&gt;Sinha, Suveer &lt;/author&gt;&lt;author&gt;Strube, Gernot &lt;/author&gt;&lt;author&gt;Means, John &lt;/author&gt;&lt;author&gt;Law, Jonathan &lt;/author&gt;&lt;author&gt;Cadena,Andres &lt;/author&gt;&lt;author&gt;&lt;style face="normal" font="default" size="100%"&gt;von der Tann&lt;/style&gt;&lt;style face="normal" font="default" charset="238" size="100%"&gt;, &lt;/style&gt;&lt;style face="normal" font="default" size="100%"&gt;Valerie&lt;/style&gt;&lt;/author&gt;&lt;/authors&gt;&lt;/contributors&gt;&lt;titles&gt;&lt;title&gt;Smart cities: Digital solutions for a more livable future&lt;/title&gt;&lt;/titles&gt;&lt;dates&gt;&lt;year&gt;&lt;style face="normal" font="default" charset="238" size="100%"&gt;2018&lt;/style&gt;&lt;/year&gt;&lt;/dates&gt;&lt;publisher&gt;McKinsey&lt;/publisher&gt;&lt;urls&gt;&lt;related-urls&gt;&lt;url&gt;https://www.mckinsey.com/business-functions/operations/our-insights/smart-cities-digital-solutions-for-a-more-livable-future&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(Woetzel et al., 2018)</w:t>
      </w:r>
      <w:r w:rsidRPr="002A63BA">
        <w:rPr>
          <w:rFonts w:ascii="Open Sans" w:hAnsi="Open Sans" w:cs="Open Sans"/>
        </w:rPr>
        <w:fldChar w:fldCharType="end"/>
      </w:r>
      <w:r w:rsidRPr="002A63BA">
        <w:rPr>
          <w:rFonts w:ascii="Open Sans" w:hAnsi="Open Sans" w:cs="Open Sans"/>
        </w:rPr>
        <w:t>.</w:t>
      </w:r>
    </w:p>
    <w:p w14:paraId="5E938B85"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When visualising a smart city the image that appears is a city that can offer its citizens a high quality of life by using resources in a sustainable way, through the implementation of innovative technologies. The term smart city does not have a single and specific definition. Since its first introduction as a concept in Silicon Valley, it has been widely used and applied in different contexts, thus, carrying different meanings </w:t>
      </w:r>
      <w:r w:rsidRPr="002A63BA">
        <w:rPr>
          <w:rFonts w:ascii="Open Sans" w:hAnsi="Open Sans" w:cs="Open Sans"/>
        </w:rPr>
        <w:fldChar w:fldCharType="begin"/>
      </w:r>
      <w:r w:rsidRPr="002A63BA">
        <w:rPr>
          <w:rFonts w:ascii="Open Sans" w:hAnsi="Open Sans" w:cs="Open Sans"/>
        </w:rPr>
        <w:instrText xml:space="preserve"> ADDIN EN.CITE &lt;EndNote&gt;&lt;Cite&gt;&lt;Author&gt;Lindskog&lt;/Author&gt;&lt;Year&gt;2004&lt;/Year&gt;&lt;RecNum&gt;294&lt;/RecNum&gt;&lt;DisplayText&gt;(Lindskog, 2004)&lt;/DisplayText&gt;&lt;record&gt;&lt;rec-number&gt;294&lt;/rec-number&gt;&lt;foreign-keys&gt;&lt;key app="EN" db-id="9xtppttv1tfpsqedswup2p2w5tvf59x5dt5d" timestamp="1653946804"&gt;294&lt;/key&gt;&lt;/foreign-keys&gt;&lt;ref-type name="Conference Proceedings"&gt;10&lt;/ref-type&gt;&lt;contributors&gt;&lt;authors&gt;&lt;author&gt;Lindskog, Helena&lt;/author&gt;&lt;/authors&gt;&lt;/contributors&gt;&lt;titles&gt;&lt;title&gt;Smart communities initiatives&lt;/title&gt;&lt;secondary-title&gt;Proceedings of the 3rd ISOneWorld Conference&lt;/secondary-title&gt;&lt;/titles&gt;&lt;pages&gt;14-16&lt;/pages&gt;&lt;volume&gt;16&lt;/volume&gt;&lt;dates&gt;&lt;year&gt;2004&lt;/year&gt;&lt;/dates&gt;&lt;urls&gt;&lt;/urls&gt;&lt;/record&gt;&lt;/Cite&gt;&lt;/EndNote&gt;</w:instrText>
      </w:r>
      <w:r w:rsidRPr="002A63BA">
        <w:rPr>
          <w:rFonts w:ascii="Open Sans" w:hAnsi="Open Sans" w:cs="Open Sans"/>
        </w:rPr>
        <w:fldChar w:fldCharType="separate"/>
      </w:r>
      <w:r w:rsidRPr="002A63BA">
        <w:rPr>
          <w:rFonts w:ascii="Open Sans" w:hAnsi="Open Sans" w:cs="Open Sans"/>
          <w:noProof/>
        </w:rPr>
        <w:t>(Lindskog, 2004)</w:t>
      </w:r>
      <w:r w:rsidRPr="002A63BA">
        <w:rPr>
          <w:rFonts w:ascii="Open Sans" w:hAnsi="Open Sans" w:cs="Open Sans"/>
        </w:rPr>
        <w:fldChar w:fldCharType="end"/>
      </w:r>
      <w:r w:rsidRPr="002A63BA">
        <w:rPr>
          <w:rFonts w:ascii="Open Sans" w:hAnsi="Open Sans" w:cs="Open Sans"/>
        </w:rPr>
        <w:t xml:space="preserve">. The general concept of a smart city revolves around the combination of studies in urbanism and information and communication technologies with some aspects of creativity and participation in society. It involves the reorganization of the city structure and the improvement of the living conditions of its citizens. It usually requires the use of technological tools, such as the internet of things or artificial intelligence; however, it is also based on the collaboration between governments and different departments of society and involves changes to the contemplative side of the society </w:t>
      </w:r>
      <w:r w:rsidRPr="002A63BA">
        <w:rPr>
          <w:rFonts w:ascii="Open Sans" w:hAnsi="Open Sans" w:cs="Open Sans"/>
        </w:rPr>
        <w:fldChar w:fldCharType="begin"/>
      </w:r>
      <w:r w:rsidRPr="002A63BA">
        <w:rPr>
          <w:rFonts w:ascii="Open Sans" w:hAnsi="Open Sans" w:cs="Open Sans"/>
        </w:rPr>
        <w:instrText xml:space="preserve"> ADDIN EN.CITE &lt;EndNote&gt;&lt;Cite&gt;&lt;Author&gt;Ruohomaa&lt;/Author&gt;&lt;Year&gt;2019&lt;/Year&gt;&lt;RecNum&gt;295&lt;/RecNum&gt;&lt;DisplayText&gt;(Ruohomaa, Salminen, &amp;amp; Kunttu, 2019)&lt;/DisplayText&gt;&lt;record&gt;&lt;rec-number&gt;295&lt;/rec-number&gt;&lt;foreign-keys&gt;&lt;key app="EN" db-id="9xtppttv1tfpsqedswup2p2w5tvf59x5dt5d" timestamp="1653946853"&gt;295&lt;/key&gt;&lt;/foreign-keys&gt;&lt;ref-type name="Journal Article"&gt;17&lt;/ref-type&gt;&lt;contributors&gt;&lt;authors&gt;&lt;author&gt;Ruohomaa, Heikki&lt;/author&gt;&lt;author&gt;Salminen, Vesa&lt;/author&gt;&lt;author&gt;Kunttu, Iivari&lt;/author&gt;&lt;/authors&gt;&lt;/contributors&gt;&lt;titles&gt;&lt;title&gt;Towards a smart city concept in small cities&lt;/title&gt;&lt;/titles&gt;&lt;dates&gt;&lt;year&gt;2019&lt;/year&gt;&lt;/dates&gt;&lt;urls&gt;&lt;/urls&gt;&lt;/record&gt;&lt;/Cite&gt;&lt;/EndNote&gt;</w:instrText>
      </w:r>
      <w:r w:rsidRPr="002A63BA">
        <w:rPr>
          <w:rFonts w:ascii="Open Sans" w:hAnsi="Open Sans" w:cs="Open Sans"/>
        </w:rPr>
        <w:fldChar w:fldCharType="separate"/>
      </w:r>
      <w:r w:rsidRPr="002A63BA">
        <w:rPr>
          <w:rFonts w:ascii="Open Sans" w:hAnsi="Open Sans" w:cs="Open Sans"/>
          <w:noProof/>
        </w:rPr>
        <w:t>(Ruohomaa, Salminen, &amp; Kunttu, 2019)</w:t>
      </w:r>
      <w:r w:rsidRPr="002A63BA">
        <w:rPr>
          <w:rFonts w:ascii="Open Sans" w:hAnsi="Open Sans" w:cs="Open Sans"/>
        </w:rPr>
        <w:fldChar w:fldCharType="end"/>
      </w:r>
      <w:r w:rsidRPr="002A63BA">
        <w:rPr>
          <w:rFonts w:ascii="Open Sans" w:hAnsi="Open Sans" w:cs="Open Sans"/>
        </w:rPr>
        <w:t>.</w:t>
      </w:r>
    </w:p>
    <w:p w14:paraId="5D5C5684" w14:textId="77777777" w:rsidR="00AE101A" w:rsidRPr="002A63BA" w:rsidRDefault="00AE101A" w:rsidP="00FF3EE4">
      <w:pPr>
        <w:spacing w:line="276" w:lineRule="auto"/>
        <w:rPr>
          <w:rFonts w:ascii="Open Sans" w:hAnsi="Open Sans" w:cs="Open Sans"/>
        </w:rPr>
      </w:pPr>
      <w:r w:rsidRPr="002A63BA">
        <w:rPr>
          <w:rFonts w:ascii="Open Sans" w:hAnsi="Open Sans" w:cs="Open Sans"/>
        </w:rPr>
        <w:lastRenderedPageBreak/>
        <w:t xml:space="preserve">In order to facilitate the transition to a smarter city, there are several factors that need to be changed before beginning the improvements. The roles of each contributor should be specified, in order to stimulate collaboration between all departments. The citizens should not only cover the role of the observer but rather collaborate in the process and actively participate by involving innovative thinking. Organizations should also transform their roles, from providers to a partners that are willing to collaborate on the development of the city. Smart cities should not only be focused on the digitalization of the city services but also on supporting the process of transformation by involving society departments, governance, and collaboration between city stakeholders </w:t>
      </w:r>
      <w:r w:rsidRPr="002A63BA">
        <w:rPr>
          <w:rFonts w:ascii="Open Sans" w:hAnsi="Open Sans" w:cs="Open Sans"/>
        </w:rPr>
        <w:fldChar w:fldCharType="begin"/>
      </w:r>
      <w:r w:rsidRPr="002A63BA">
        <w:rPr>
          <w:rFonts w:ascii="Open Sans" w:hAnsi="Open Sans" w:cs="Open Sans"/>
        </w:rPr>
        <w:instrText xml:space="preserve"> ADDIN EN.CITE &lt;EndNote&gt;&lt;Cite&gt;&lt;Author&gt;Vanolo&lt;/Author&gt;&lt;Year&gt;2014&lt;/Year&gt;&lt;RecNum&gt;296&lt;/RecNum&gt;&lt;DisplayText&gt;(Vanolo, 2014)&lt;/DisplayText&gt;&lt;record&gt;&lt;rec-number&gt;296&lt;/rec-number&gt;&lt;foreign-keys&gt;&lt;key app="EN" db-id="9xtppttv1tfpsqedswup2p2w5tvf59x5dt5d" timestamp="1653947196"&gt;296&lt;/key&gt;&lt;/foreign-keys&gt;&lt;ref-type name="Journal Article"&gt;17&lt;/ref-type&gt;&lt;contributors&gt;&lt;authors&gt;&lt;author&gt;Vanolo, Alberto&lt;/author&gt;&lt;/authors&gt;&lt;/contributors&gt;&lt;titles&gt;&lt;title&gt;Smartmentality: The smart city as disciplinary strategy&lt;/title&gt;&lt;secondary-title&gt;Urban studies&lt;/secondary-title&gt;&lt;/titles&gt;&lt;periodical&gt;&lt;full-title&gt;Urban studies&lt;/full-title&gt;&lt;/periodical&gt;&lt;pages&gt;883-898&lt;/pages&gt;&lt;volume&gt;51&lt;/volume&gt;&lt;number&gt;5&lt;/number&gt;&lt;dates&gt;&lt;year&gt;2014&lt;/year&gt;&lt;/dates&gt;&lt;isbn&gt;0042-0980&lt;/isbn&gt;&lt;urls&gt;&lt;/urls&gt;&lt;/record&gt;&lt;/Cite&gt;&lt;/EndNote&gt;</w:instrText>
      </w:r>
      <w:r w:rsidRPr="002A63BA">
        <w:rPr>
          <w:rFonts w:ascii="Open Sans" w:hAnsi="Open Sans" w:cs="Open Sans"/>
        </w:rPr>
        <w:fldChar w:fldCharType="separate"/>
      </w:r>
      <w:r w:rsidRPr="002A63BA">
        <w:rPr>
          <w:rFonts w:ascii="Open Sans" w:hAnsi="Open Sans" w:cs="Open Sans"/>
          <w:noProof/>
        </w:rPr>
        <w:t>(Vanolo, 2014)</w:t>
      </w:r>
      <w:r w:rsidRPr="002A63BA">
        <w:rPr>
          <w:rFonts w:ascii="Open Sans" w:hAnsi="Open Sans" w:cs="Open Sans"/>
        </w:rPr>
        <w:fldChar w:fldCharType="end"/>
      </w:r>
      <w:r w:rsidRPr="002A63BA">
        <w:rPr>
          <w:rFonts w:ascii="Open Sans" w:hAnsi="Open Sans" w:cs="Open Sans"/>
        </w:rPr>
        <w:t>.</w:t>
      </w:r>
    </w:p>
    <w:p w14:paraId="3A6FE0B1" w14:textId="77777777" w:rsidR="00AE101A" w:rsidRPr="002A63BA" w:rsidRDefault="00AE101A" w:rsidP="00FF3EE4">
      <w:pPr>
        <w:pStyle w:val="N1"/>
      </w:pPr>
      <w:r w:rsidRPr="002A63BA">
        <w:t>CHARACTERISTICS OF SMART CITIES</w:t>
      </w:r>
    </w:p>
    <w:p w14:paraId="710BBEDD"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There are different characteristics which a smart city can consist of, like smart economy, smart people, smart governance, smart mobility, smart environment, and smart living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&lt;EndNote&gt;&lt;Cite&gt;&lt;Author&gt;Capdevila&lt;/Author&gt;&lt;Year&gt;2015&lt;/Year&gt;&lt;RecNum&gt;268&lt;/RecNum&gt;&lt;DisplayText&gt;(Capdevila &amp;amp; Zarlenga, 2015)&lt;/DisplayText&gt;&lt;record&gt;&lt;rec-number&gt;268&lt;/rec-number&gt;&lt;foreign-keys&gt;&lt;key app="EN" db-id="9xtppttv1tfpsqedswup2p2w5tvf59x5dt5d" timestamp="1653854791"&gt;268&lt;/key&gt;&lt;/foreign-keys&gt;&lt;ref-type name="Journal Article"&gt;17&lt;/ref-type&gt;&lt;contributors&gt;&lt;authors&gt;&lt;author&gt;Capdevila, Ignasi&lt;/author&gt;&lt;author&gt;Zarlenga, Matías I&lt;/author&gt;&lt;/authors&gt;&lt;/contributors&gt;&lt;titles&gt;&lt;title&gt;Smart city or smart citizens? The Barcelona case&lt;/title&gt;&lt;secondary-title&gt;Journal of Strategy and Management&lt;/secondary-title&gt;&lt;/titles&gt;&lt;periodical&gt;&lt;full-title&gt;Journal of Strategy and Management&lt;/full-title&gt;&lt;/periodical&gt;&lt;dates&gt;&lt;year&gt;2015&lt;/year&gt;&lt;/dates&gt;&lt;isbn&gt;1755-425X&lt;/isbn&gt;&lt;urls&gt;&lt;/urls&gt;&lt;/record&gt;&lt;/Cite&gt;&lt;/EndNote&gt;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(Capdevila &amp; Zarlenga, 2015)</w:t>
      </w:r>
      <w:r w:rsidRPr="002A63BA">
        <w:rPr>
          <w:rFonts w:ascii="Open Sans" w:hAnsi="Open Sans" w:cs="Open Sans"/>
          <w:noProof/>
        </w:rPr>
        <w:fldChar w:fldCharType="end"/>
      </w:r>
      <w:r w:rsidRPr="002A63BA">
        <w:rPr>
          <w:rFonts w:ascii="Open Sans" w:hAnsi="Open Sans" w:cs="Open Sans"/>
          <w:noProof/>
        </w:rPr>
        <w:t>. For each of these areas, the literature provides several possible definitions.</w:t>
      </w:r>
    </w:p>
    <w:p w14:paraId="6AA618F2"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Smart economy primarily revolves around effectively allocating economic resources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&lt;EndNote&gt;&lt;Cite&gt;&lt;Author&gt;Apostol&lt;/Author&gt;&lt;Year&gt;2015&lt;/Year&gt;&lt;RecNum&gt;269&lt;/RecNum&gt;&lt;DisplayText&gt;(Apostol, Balaceanu, &amp;amp; Constantinescu, 2015)&lt;/DisplayText&gt;&lt;record&gt;&lt;rec-number&gt;269&lt;/rec-number&gt;&lt;foreign-keys&gt;&lt;key app="EN" db-id="9xtppttv1tfpsqedswup2p2w5tvf59x5dt5d" timestamp="1653854974"&gt;269&lt;/key&gt;&lt;/foreign-keys&gt;&lt;ref-type name="Conference Proceedings"&gt;10&lt;/ref-type&gt;&lt;contributors&gt;&lt;authors&gt;&lt;author&gt;Apostol, Diana&lt;/author&gt;&lt;author&gt;Balaceanu, C&lt;/author&gt;&lt;author&gt;Constantinescu, Eleonora Mihaela&lt;/author&gt;&lt;/authors&gt;&lt;/contributors&gt;&lt;titles&gt;&lt;title&gt;Smart Economy Concept—Facts and Perspectives&lt;/title&gt;&lt;secondary-title&gt;International conference “European perspective of labor market-inovation, expertness, performance&lt;/secondary-title&gt;&lt;/titles&gt;&lt;dates&gt;&lt;year&gt;2015&lt;/year&gt;&lt;/dates&gt;&lt;urls&gt;&lt;/urls&gt;&lt;/record&gt;&lt;/Cite&gt;&lt;/EndNote&gt;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(Apostol, Balaceanu, &amp; Constantinescu, 2015)</w:t>
      </w:r>
      <w:r w:rsidRPr="002A63BA">
        <w:rPr>
          <w:rFonts w:ascii="Open Sans" w:hAnsi="Open Sans" w:cs="Open Sans"/>
          <w:noProof/>
        </w:rPr>
        <w:fldChar w:fldCharType="end"/>
      </w:r>
      <w:r w:rsidRPr="002A63BA">
        <w:rPr>
          <w:rFonts w:ascii="Open Sans" w:hAnsi="Open Sans" w:cs="Open Sans"/>
          <w:noProof/>
        </w:rPr>
        <w:t>, while dynamically adapting to current situations. The allocation of economic resources refers to a monitoring process that controls how wealth is created and distributed within the economy. The main idea behind a smart economy is to reduce modern social problems related to poverty, hunger, inequality of opportunity and others. A successfully implemented smart economy concept can help individuals choose on how to earn and use their income, ultimately improving the quality of life of the individual, but also reducing unemployment levels within the society.</w:t>
      </w:r>
    </w:p>
    <w:p w14:paraId="0117F514"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The definitions in the area of smart people mainly focus on the inclusion of citizens in the development process of the smart city itself. Smart cities are cities consisting of smart people, who can positively influence the community through their creativity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&lt;EndNote&gt;&lt;Cite&gt;&lt;Author&gt;Capdevila&lt;/Author&gt;&lt;Year&gt;2015&lt;/Year&gt;&lt;RecNum&gt;268&lt;/RecNum&gt;&lt;DisplayText&gt;(Capdevila &amp;amp; Zarlenga, 2015)&lt;/DisplayText&gt;&lt;record&gt;&lt;rec-number&gt;268&lt;/rec-number&gt;&lt;foreign-keys&gt;&lt;key app="EN" db-id="9xtppttv1tfpsqedswup2p2w5tvf59x5dt5d" timestamp="1653854791"&gt;268&lt;/key&gt;&lt;/foreign-keys&gt;&lt;ref-type name="Journal Article"&gt;17&lt;/ref-type&gt;&lt;contributors&gt;&lt;authors&gt;&lt;author&gt;Capdevila, Ignasi&lt;/author&gt;&lt;author&gt;Zarlenga, Matías I&lt;/author&gt;&lt;/authors&gt;&lt;/contributors&gt;&lt;titles&gt;&lt;title&gt;Smart city or smart citizens? The Barcelona case&lt;/title&gt;&lt;secondary-title&gt;Journal of Strategy and Management&lt;/secondary-title&gt;&lt;/titles&gt;&lt;periodical&gt;&lt;full-title&gt;Journal of Strategy and Management&lt;/full-title&gt;&lt;/periodical&gt;&lt;dates&gt;&lt;year&gt;2015&lt;/year&gt;&lt;/dates&gt;&lt;isbn&gt;1755-425X&lt;/isbn&gt;&lt;urls&gt;&lt;/urls&gt;&lt;/record&gt;&lt;/Cite&gt;&lt;/EndNote&gt;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(Capdevila &amp; Zarlenga, 2015)</w:t>
      </w:r>
      <w:r w:rsidRPr="002A63BA">
        <w:rPr>
          <w:rFonts w:ascii="Open Sans" w:hAnsi="Open Sans" w:cs="Open Sans"/>
          <w:noProof/>
        </w:rPr>
        <w:fldChar w:fldCharType="end"/>
      </w:r>
      <w:r w:rsidRPr="002A63BA">
        <w:rPr>
          <w:rFonts w:ascii="Open Sans" w:hAnsi="Open Sans" w:cs="Open Sans"/>
          <w:noProof/>
        </w:rPr>
        <w:t xml:space="preserve">. Additionally, smart cities should not only focus on developing the </w:t>
      </w:r>
      <w:r w:rsidRPr="002A63BA">
        <w:rPr>
          <w:rFonts w:ascii="Open Sans" w:hAnsi="Open Sans" w:cs="Open Sans"/>
          <w:noProof/>
        </w:rPr>
        <w:lastRenderedPageBreak/>
        <w:t xml:space="preserve">technologies used, but rather educate their citizens on how to use these technologies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&lt;EndNote&gt;&lt;Cite&gt;&lt;Author&gt;Lacinák&lt;/Author&gt;&lt;Year&gt;2017&lt;/Year&gt;&lt;RecNum&gt;270&lt;/RecNum&gt;&lt;DisplayText&gt;(Lacinák &amp;amp; Ristvej, 2017)&lt;/DisplayText&gt;&lt;record&gt;&lt;rec-number&gt;270&lt;/rec-number&gt;&lt;foreign-keys&gt;&lt;key app="EN" db-id="9xtppttv1tfpsqedswup2p2w5tvf59x5dt5d" timestamp="1653855124"&gt;270&lt;/key&gt;&lt;/foreign-keys&gt;&lt;ref-type name="Journal Article"&gt;17&lt;/ref-type&gt;&lt;contributors&gt;&lt;authors&gt;&lt;author&gt;Lacinák, Maroš&lt;/author&gt;&lt;author&gt;Ristvej, Jozef&lt;/author&gt;&lt;/authors&gt;&lt;/contributors&gt;&lt;titles&gt;&lt;title&gt;Smart city, safety and security&lt;/title&gt;&lt;secondary-title&gt;Procedia engineering&lt;/secondary-title&gt;&lt;/titles&gt;&lt;periodical&gt;&lt;full-title&gt;Procedia Engineering&lt;/full-title&gt;&lt;/periodical&gt;&lt;pages&gt;522-527&lt;/pages&gt;&lt;volume&gt;192&lt;/volume&gt;&lt;dates&gt;&lt;year&gt;2017&lt;/year&gt;&lt;/dates&gt;&lt;isbn&gt;1877-7058&lt;/isbn&gt;&lt;urls&gt;&lt;/urls&gt;&lt;/record&gt;&lt;/Cite&gt;&lt;/EndNote&gt;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(Lacinák &amp; Ristvej, 2017)</w:t>
      </w:r>
      <w:r w:rsidRPr="002A63BA">
        <w:rPr>
          <w:rFonts w:ascii="Open Sans" w:hAnsi="Open Sans" w:cs="Open Sans"/>
          <w:noProof/>
        </w:rPr>
        <w:fldChar w:fldCharType="end"/>
      </w:r>
      <w:r w:rsidRPr="002A63BA">
        <w:rPr>
          <w:rFonts w:ascii="Open Sans" w:hAnsi="Open Sans" w:cs="Open Sans"/>
          <w:noProof/>
        </w:rPr>
        <w:t>. Nevertheless, even the most cutting-edge Smart City failed to achieve its purpose, if the features of Smart Citizen are missing.</w:t>
      </w:r>
    </w:p>
    <w:p w14:paraId="0F21A8BB" w14:textId="77777777" w:rsidR="00AE101A" w:rsidRPr="002A63BA" w:rsidRDefault="00AE101A" w:rsidP="00FF3EE4">
      <w:pPr>
        <w:spacing w:line="276" w:lineRule="auto"/>
        <w:rPr>
          <w:rFonts w:ascii="Open Sans" w:hAnsi="Open Sans" w:cs="Open Sans"/>
          <w:noProof/>
        </w:rPr>
      </w:pPr>
      <w:r w:rsidRPr="002A63BA">
        <w:rPr>
          <w:rFonts w:ascii="Open Sans" w:eastAsia="PMingLiU" w:hAnsi="Open Sans" w:cs="Open Sans"/>
          <w:noProof/>
          <w:lang w:val="hr-HR" w:eastAsia="hr-HR"/>
        </w:rPr>
        <mc:AlternateContent>
          <mc:Choice Requires="wps">
            <w:drawing>
              <wp:anchor distT="0" distB="0" distL="0" distR="0" simplePos="0" relativeHeight="251660288" behindDoc="1" locked="0" layoutInCell="1" allowOverlap="1" wp14:anchorId="04C181E3" wp14:editId="0EA09159">
                <wp:simplePos x="0" y="0"/>
                <wp:positionH relativeFrom="page">
                  <wp:posOffset>6508750</wp:posOffset>
                </wp:positionH>
                <wp:positionV relativeFrom="page">
                  <wp:posOffset>10057130</wp:posOffset>
                </wp:positionV>
                <wp:extent cx="195580" cy="160655"/>
                <wp:effectExtent l="3175" t="0" r="1270" b="2540"/>
                <wp:wrapSquare wrapText="bothSides"/>
                <wp:docPr id="1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9F2D" w14:textId="77777777" w:rsidR="007C3C4B" w:rsidRDefault="007C3C4B" w:rsidP="00AE101A">
                            <w:pPr>
                              <w:spacing w:before="2" w:line="244" w:lineRule="exact"/>
                              <w:textAlignment w:val="baseline"/>
                              <w:rPr>
                                <w:rFonts w:ascii="Arial" w:eastAsia="Arial" w:hAnsi="Arial"/>
                                <w:color w:val="000000"/>
                              </w:rPr>
                            </w:pPr>
                            <w:r>
                              <w:rPr>
                                <w:rFonts w:ascii="Arial" w:eastAsia="Arial" w:hAnsi="Arial"/>
                                <w:color w:val="000000"/>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C181E3" id="Text Box 1" o:spid="_x0000_s1027" type="#_x0000_t202" style="position:absolute;left:0;text-align:left;margin-left:512.5pt;margin-top:791.9pt;width:15.4pt;height:12.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" filled="f" stroked="f">
                <v:textbox inset="0,0,0,0">
                  <w:txbxContent>
                    <w:p w14:paraId="74CB9F2D" w14:textId="77777777" w:rsidR="007C3C4B" w:rsidRDefault="007C3C4B" w:rsidP="00AE101A">
                      <w:pPr>
                        <w:spacing w:before="2" w:line="244" w:lineRule="exact"/>
                        <w:textAlignment w:val="baseline"/>
                        <w:rPr>
                          <w:rFonts w:ascii="Arial" w:eastAsia="Arial" w:hAnsi="Arial"/>
                          <w:color w:val="000000"/>
                        </w:rPr>
                      </w:pPr>
                      <w:r>
                        <w:rPr>
                          <w:rFonts w:ascii="Arial" w:eastAsia="Arial" w:hAnsi="Arial"/>
                          <w:color w:val="000000"/>
                          <w:lang w:val="en-US"/>
                        </w:rPr>
                        <w:t>3</w:t>
                      </w:r>
                    </w:p>
                  </w:txbxContent>
                </v:textbox>
                <w10:wrap type="square" anchorx="page" anchory="page"/>
              </v:shape>
            </w:pict>
          </mc:Fallback>
        </mc:AlternateContent>
      </w:r>
      <w:r w:rsidRPr="002A63BA">
        <w:rPr>
          <w:rFonts w:ascii="Open Sans" w:hAnsi="Open Sans" w:cs="Open Sans"/>
          <w:noProof/>
        </w:rPr>
        <w:t xml:space="preserve">Smart governance revolves around smart cities allowing for smart collaboration. For the city governments, this affects both the institutions’ governance and the institutions’ policy. Smart governance can thus be defined as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&lt;EndNote&gt;&lt;Cite&gt;&lt;Author&gt;Israilidis&lt;/Author&gt;&lt;Year&gt;2021&lt;/Year&gt;&lt;RecNum&gt;271&lt;/RecNum&gt;&lt;DisplayText&gt;(Israilidis, Odusanya, &amp;amp; Mazhar, 2021)&lt;/DisplayText&gt;&lt;record&gt;&lt;rec-number&gt;271&lt;/rec-number&gt;&lt;foreign-keys&gt;&lt;key app="EN" db-id="9xtppttv1tfpsqedswup2p2w5tvf59x5dt5d" timestamp="1653855265"&gt;271&lt;/key&gt;&lt;/foreign-keys&gt;&lt;ref-type name="Journal Article"&gt;17&lt;/ref-type&gt;&lt;contributors&gt;&lt;authors&gt;&lt;author&gt;Israilidis, John&lt;/author&gt;&lt;author&gt;Odusanya, Kayode&lt;/author&gt;&lt;author&gt;Mazhar, Muhammad Usman&lt;/author&gt;&lt;/authors&gt;&lt;/contributors&gt;&lt;titles&gt;&lt;title&gt;Exploring knowledge management perspectives in smart city research: A review and future research agenda&lt;/title&gt;&lt;secondary-title&gt;International Journal of Information Management&lt;/secondary-title&gt;&lt;/titles&gt;&lt;periodical&gt;&lt;full-title&gt;International Journal of Information Management&lt;/full-title&gt;&lt;/periodical&gt;&lt;pages&gt;101989&lt;/pages&gt;&lt;volume&gt;56&lt;/volume&gt;&lt;dates&gt;&lt;year&gt;2021&lt;/year&gt;&lt;/dates&gt;&lt;isbn&gt;0268-4012&lt;/isbn&gt;&lt;urls&gt;&lt;/urls&gt;&lt;/record&gt;&lt;/Cite&gt;&lt;/EndNote&gt;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(Israilidis, Odusanya, &amp; Mazhar, 2021)</w:t>
      </w:r>
      <w:r w:rsidRPr="002A63BA">
        <w:rPr>
          <w:rFonts w:ascii="Open Sans" w:hAnsi="Open Sans" w:cs="Open Sans"/>
          <w:noProof/>
        </w:rPr>
        <w:fldChar w:fldCharType="end"/>
      </w:r>
      <w:r w:rsidRPr="002A63BA">
        <w:rPr>
          <w:rFonts w:ascii="Open Sans" w:hAnsi="Open Sans" w:cs="Open Sans"/>
          <w:noProof/>
        </w:rPr>
        <w:t xml:space="preserve"> the process of not only citizens being involved in the city’s governance process, but also other public, private and civic stakeholders. Smart governance builds on all these players collaborating and innovating together, creating an interconnected society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&lt;EndNote&gt;&lt;Cite&gt;&lt;Author&gt;Haque&lt;/Author&gt;&lt;Year&gt;2021&lt;/Year&gt;&lt;RecNum&gt;264&lt;/RecNum&gt;&lt;DisplayText&gt;(Haque, Bhushan, &amp;amp; Dhiman, 2021)&lt;/DisplayText&gt;&lt;record&gt;&lt;rec-number&gt;264&lt;/rec-number&gt;&lt;foreign-keys&gt;&lt;key app="EN" db-id="9xtppttv1tfpsqedswup2p2w5tvf59x5dt5d" timestamp="1653854082"&gt;264&lt;/key&gt;&lt;/foreign-keys&gt;&lt;ref-type name="Journal Article"&gt;17&lt;/ref-type&gt;&lt;contributors&gt;&lt;authors&gt;&lt;author&gt;Haque, AKM Bahalul&lt;/author&gt;&lt;author&gt;Bhushan, Bharat&lt;/author&gt;&lt;author&gt;Dhiman, Gaurav&lt;/author&gt;&lt;/authors&gt;&lt;/contributors&gt;&lt;titles&gt;&lt;title&gt;Conceptualizing smart city applications: Requirements, architecture, security issues, and emerging trends&lt;/title&gt;&lt;secondary-title&gt;Expert Systems&lt;/secondary-title&gt;&lt;/titles&gt;&lt;periodical&gt;&lt;full-title&gt;Expert Systems&lt;/full-title&gt;&lt;/periodical&gt;&lt;dates&gt;&lt;year&gt;2021&lt;/year&gt;&lt;/dates&gt;&lt;isbn&gt;0266-4720&lt;/isbn&gt;&lt;urls&gt;&lt;/urls&gt;&lt;/record&gt;&lt;/Cite&gt;&lt;/EndNote&gt;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(Haque, Bhushan, &amp; Dhiman, 2021)</w:t>
      </w:r>
      <w:r w:rsidRPr="002A63BA">
        <w:rPr>
          <w:rFonts w:ascii="Open Sans" w:hAnsi="Open Sans" w:cs="Open Sans"/>
          <w:noProof/>
        </w:rPr>
        <w:fldChar w:fldCharType="end"/>
      </w:r>
      <w:r w:rsidRPr="002A63BA">
        <w:rPr>
          <w:rFonts w:ascii="Open Sans" w:hAnsi="Open Sans" w:cs="Open Sans"/>
          <w:noProof/>
        </w:rPr>
        <w:t xml:space="preserve">. In a survey conducted by the EU commission, 63% of the EU citizens would like to have a digital ID. This would enable them easy access to governmental procedures like tax filing, or other public services. It would also allow EU citizens the opportunity to easily use public service providers in another country. </w:t>
      </w:r>
    </w:p>
    <w:p w14:paraId="1952C4B6"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Smart mobility is a rather straightforward term and addresses the increase in traffic in cities all around the world. Moreover, by reducing traffic, it can also have a positive effect on the environment, by reducing pollution. Smart Mobility within smart cities therefore tackles concerns regarding travel time, energy efficiency, and environmental issues. One clear-cut trend in Smart Mobility is the use of autonomous mobility. Although still in a very early development stage, autonomous vehicles seem to be a possible solution for the previously mentioned problems smart mobility is trying to address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&lt;EndNote&gt;&lt;Cite&gt;&lt;Author&gt;Manfreda&lt;/Author&gt;&lt;Year&gt;2021&lt;/Year&gt;&lt;RecNum&gt;141&lt;/RecNum&gt;&lt;DisplayText&gt;(Manfreda, Ljubi, &amp;amp; Groznik, 2021)&lt;/DisplayText&gt;&lt;record&gt;&lt;rec-number&gt;141&lt;/rec-number&gt;&lt;foreign-keys&gt;&lt;key app="EN" db-id="9xtppttv1tfpsqedswup2p2w5tvf59x5dt5d" timestamp="1644750140"&gt;141&lt;/key&gt;&lt;/foreign-keys&gt;&lt;ref-type name="Journal Article"&gt;17&lt;/ref-type&gt;&lt;contributors&gt;&lt;authors&gt;&lt;author&gt;Manfreda, Anton&lt;/author&gt;&lt;author&gt;Ljubi, Klara&lt;/author&gt;&lt;author&gt;Groznik, Aleš&lt;/author&gt;&lt;/authors&gt;&lt;/contributors&gt;&lt;titles&gt;&lt;title&gt;Autonomous vehicles in the smart city era: An empirical study of adoption factors important for millennials&lt;/title&gt;&lt;secondary-title&gt;International Journal of Information Management&lt;/secondary-title&gt;&lt;/titles&gt;&lt;periodical&gt;&lt;full-title&gt;International Journal of Information Management&lt;/full-title&gt;&lt;/periodical&gt;&lt;pages&gt;102050&lt;/pages&gt;&lt;volume&gt;58&lt;/volume&gt;&lt;dates&gt;&lt;year&gt;2021&lt;/year&gt;&lt;/dates&gt;&lt;isbn&gt;0268-4012&lt;/isbn&gt;&lt;urls&gt;&lt;/urls&gt;&lt;/record&gt;&lt;/Cite&gt;&lt;/EndNote&gt;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(Manfreda, Ljubi, &amp; Groznik, 2021)</w:t>
      </w:r>
      <w:r w:rsidRPr="002A63BA">
        <w:rPr>
          <w:rFonts w:ascii="Open Sans" w:hAnsi="Open Sans" w:cs="Open Sans"/>
          <w:noProof/>
        </w:rPr>
        <w:fldChar w:fldCharType="end"/>
      </w:r>
      <w:r w:rsidRPr="002A63BA">
        <w:rPr>
          <w:rFonts w:ascii="Open Sans" w:hAnsi="Open Sans" w:cs="Open Sans"/>
          <w:noProof/>
        </w:rPr>
        <w:t>. Another trend in the area of smart mobility is car sharing. In 2015, the number of worldwide users was at 7 million, but this is expected to increase dramatically, up to 36 million users in 2025.</w:t>
      </w:r>
    </w:p>
    <w:p w14:paraId="175130A1"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The area of smart environment deals with improving sustainability aspects of the city. The use of technology is supposed to create a sustainable living environment, whilst utilizing natural and economic </w:t>
      </w:r>
      <w:r w:rsidRPr="002A63BA">
        <w:rPr>
          <w:rFonts w:ascii="Open Sans" w:hAnsi="Open Sans" w:cs="Open Sans"/>
          <w:noProof/>
        </w:rPr>
        <w:lastRenderedPageBreak/>
        <w:t xml:space="preserve">resources more efficiently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&lt;EndNote&gt;&lt;Cite&gt;&lt;Author&gt;Haque&lt;/Author&gt;&lt;Year&gt;2021&lt;/Year&gt;&lt;RecNum&gt;264&lt;/RecNum&gt;&lt;DisplayText&gt;(Haque, et al., 2021)&lt;/DisplayText&gt;&lt;record&gt;&lt;rec-number&gt;264&lt;/rec-number&gt;&lt;foreign-keys&gt;&lt;key app="EN" db-id="9xtppttv1tfpsqedswup2p2w5tvf59x5dt5d" timestamp="1653854082"&gt;264&lt;/key&gt;&lt;/foreign-keys&gt;&lt;ref-type name="Journal Article"&gt;17&lt;/ref-type&gt;&lt;contributors&gt;&lt;authors&gt;&lt;author&gt;Haque, AKM Bahalul&lt;/author&gt;&lt;author&gt;Bhushan, Bharat&lt;/author&gt;&lt;author&gt;Dhiman, Gaurav&lt;/author&gt;&lt;/authors&gt;&lt;/contributors&gt;&lt;titles&gt;&lt;title&gt;Conceptualizing smart city applications: Requirements, architecture, security issues, and emerging trends&lt;/title&gt;&lt;secondary-title&gt;Expert Systems&lt;/secondary-title&gt;&lt;/titles&gt;&lt;periodical&gt;&lt;full-title&gt;Expert Systems&lt;/full-title&gt;&lt;/periodical&gt;&lt;dates&gt;&lt;year&gt;2021&lt;/year&gt;&lt;/dates&gt;&lt;isbn&gt;0266-4720&lt;/isbn&gt;&lt;urls&gt;&lt;/urls&gt;&lt;/record&gt;&lt;/Cite&gt;&lt;/EndNote&gt;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(Haque, et al., 2021)</w:t>
      </w:r>
      <w:r w:rsidRPr="002A63BA">
        <w:rPr>
          <w:rFonts w:ascii="Open Sans" w:hAnsi="Open Sans" w:cs="Open Sans"/>
          <w:noProof/>
        </w:rPr>
        <w:fldChar w:fldCharType="end"/>
      </w:r>
      <w:r w:rsidRPr="002A63BA">
        <w:rPr>
          <w:rFonts w:ascii="Open Sans" w:hAnsi="Open Sans" w:cs="Open Sans"/>
          <w:noProof/>
        </w:rPr>
        <w:t>. The sustainability approach allows for the development of a sustainable health care system and inspires a greener lifestyle. One trend in this area is the implementation of so-called Smart Ports. By changing the infrastructure of industrial ports, it is possible to not only improve the economic efficiencies, but it is also possible to reduce the negative effects on the environment. The Smart Port initiative in Rotterdam, Netherlands, aims at becoming a “renewable energy hub” and a “recycling hub”.</w:t>
      </w:r>
    </w:p>
    <w:p w14:paraId="20C35CA8"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Smart living tackles all aspects dealing with the quality of life of each individual citizen. The term “quality of life” can be seen in various definitions. Improving quality of life is such a broad term, it allows for many interpretations. Generally, smart cities use ICTs to improve the quality of life of its citizens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&lt;EndNote&gt;&lt;Cite&gt;&lt;Author&gt;Capdevila&lt;/Author&gt;&lt;Year&gt;2015&lt;/Year&gt;&lt;RecNum&gt;268&lt;/RecNum&gt;&lt;DisplayText&gt;(Capdevila &amp;amp; Zarlenga, 2015)&lt;/DisplayText&gt;&lt;record&gt;&lt;rec-number&gt;268&lt;/rec-number&gt;&lt;foreign-keys&gt;&lt;key app="EN" db-id="9xtppttv1tfpsqedswup2p2w5tvf59x5dt5d" timestamp="1653854791"&gt;268&lt;/key&gt;&lt;/foreign-keys&gt;&lt;ref-type name="Journal Article"&gt;17&lt;/ref-type&gt;&lt;contributors&gt;&lt;authors&gt;&lt;author&gt;Capdevila, Ignasi&lt;/author&gt;&lt;author&gt;Zarlenga, Matías I&lt;/author&gt;&lt;/authors&gt;&lt;/contributors&gt;&lt;titles&gt;&lt;title&gt;Smart city or smart citizens? The Barcelona case&lt;/title&gt;&lt;secondary-title&gt;Journal of Strategy and Management&lt;/secondary-title&gt;&lt;/titles&gt;&lt;periodical&gt;&lt;full-title&gt;Journal of Strategy and Management&lt;/full-title&gt;&lt;/periodical&gt;&lt;dates&gt;&lt;year&gt;2015&lt;/year&gt;&lt;/dates&gt;&lt;isbn&gt;1755-425X&lt;/isbn&gt;&lt;urls&gt;&lt;/urls&gt;&lt;/record&gt;&lt;/Cite&gt;&lt;/EndNote&gt;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(Capdevila &amp; Zarlenga, 2015)</w:t>
      </w:r>
      <w:r w:rsidRPr="002A63BA">
        <w:rPr>
          <w:rFonts w:ascii="Open Sans" w:hAnsi="Open Sans" w:cs="Open Sans"/>
          <w:noProof/>
        </w:rPr>
        <w:fldChar w:fldCharType="end"/>
      </w:r>
      <w:r w:rsidRPr="002A63BA">
        <w:rPr>
          <w:rFonts w:ascii="Open Sans" w:hAnsi="Open Sans" w:cs="Open Sans"/>
          <w:noProof/>
        </w:rPr>
        <w:t xml:space="preserve">. Important factors contributing to quality of life are education, health, and safety, and social cohesion and touristic attractively as well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&lt;EndNote&gt;&lt;Cite&gt;&lt;Author&gt;Giffinger&lt;/Author&gt;&lt;Year&gt;2007&lt;/Year&gt;&lt;RecNum&gt;272&lt;/RecNum&gt;&lt;DisplayText&gt;(Giffinger, Fertner, Kramar, &amp;amp; Meijers, 2007)&lt;/DisplayText&gt;&lt;record&gt;&lt;rec-number&gt;272&lt;/rec-number&gt;&lt;foreign-keys&gt;&lt;key app="EN" db-id="9xtppttv1tfpsqedswup2p2w5tvf59x5dt5d" timestamp="1653855648"&gt;272&lt;/key&gt;&lt;/foreign-keys&gt;&lt;ref-type name="Journal Article"&gt;17&lt;/ref-type&gt;&lt;contributors&gt;&lt;authors&gt;&lt;author&gt;Giffinger, Rudolf&lt;/author&gt;&lt;author&gt;Fertner, Christian&lt;/author&gt;&lt;author&gt;Kramar, Hans&lt;/author&gt;&lt;author&gt;Meijers, Evert&lt;/author&gt;&lt;/authors&gt;&lt;/contributors&gt;&lt;titles&gt;&lt;title&gt;City-ranking of European medium-sized cities&lt;/title&gt;&lt;secondary-title&gt;Cent. Reg. Sci. Vienna UT&lt;/secondary-title&gt;&lt;/titles&gt;&lt;periodical&gt;&lt;full-title&gt;Cent. Reg. Sci. Vienna UT&lt;/full-title&gt;&lt;/periodical&gt;&lt;pages&gt;1-12&lt;/pages&gt;&lt;volume&gt;9&lt;/volume&gt;&lt;dates&gt;&lt;year&gt;2007&lt;/year&gt;&lt;/dates&gt;&lt;urls&gt;&lt;/urls&gt;&lt;/record&gt;&lt;/Cite&gt;&lt;/EndNote&gt;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(Giffinger, Fertner, Kramar, &amp; Meijers, 2007)</w:t>
      </w:r>
      <w:r w:rsidRPr="002A63BA">
        <w:rPr>
          <w:rFonts w:ascii="Open Sans" w:hAnsi="Open Sans" w:cs="Open Sans"/>
          <w:noProof/>
        </w:rPr>
        <w:fldChar w:fldCharType="end"/>
      </w:r>
      <w:r w:rsidRPr="002A63BA">
        <w:rPr>
          <w:rFonts w:ascii="Open Sans" w:hAnsi="Open Sans" w:cs="Open Sans"/>
          <w:noProof/>
        </w:rPr>
        <w:t>.</w:t>
      </w:r>
    </w:p>
    <w:p w14:paraId="01C651CB" w14:textId="77777777" w:rsidR="00AE101A" w:rsidRPr="002A63BA" w:rsidRDefault="00AE101A" w:rsidP="00FF3EE4">
      <w:pPr>
        <w:pStyle w:val="N1"/>
      </w:pPr>
      <w:r w:rsidRPr="002A63BA">
        <w:t>DEVELOPMENT STAGES OF SMART CITIES</w:t>
      </w:r>
    </w:p>
    <w:p w14:paraId="303C8FC8"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Cities according to their level of "smartness" are placed in five or six phases or generations (six if also cities without any of the characteristics of smart cities are included). The city moves upwards in stages, depending on its way of adopting new technologies and developments. The phases can be divided as </w:t>
      </w:r>
      <w:r w:rsidRPr="002A63BA">
        <w:rPr>
          <w:rFonts w:ascii="Open Sans" w:hAnsi="Open Sans" w:cs="Open Sans"/>
        </w:rPr>
        <w:fldChar w:fldCharType="begin"/>
      </w:r>
      <w:r w:rsidRPr="002A63BA">
        <w:rPr>
          <w:rFonts w:ascii="Open Sans" w:hAnsi="Open Sans" w:cs="Open Sans"/>
        </w:rPr>
        <w:instrText xml:space="preserve"> ADDIN EN.CITE &lt;EndNote&gt;&lt;Cite&gt;&lt;Author&gt;Khan&lt;/Author&gt;&lt;Year&gt;2022&lt;/Year&gt;&lt;RecNum&gt;293&lt;/RecNum&gt;&lt;DisplayText&gt;(Khan, Aslam, Aurangzeb, Alhussein, &amp;amp; Javaid, 2022)&lt;/DisplayText&gt;&lt;record&gt;&lt;rec-number&gt;293&lt;/rec-number&gt;&lt;foreign-keys&gt;&lt;key app="EN" db-id="9xtppttv1tfpsqedswup2p2w5tvf59x5dt5d" timestamp="1653921007"&gt;293&lt;/key&gt;&lt;/foreign-keys&gt;&lt;ref-type name="Journal Article"&gt;17&lt;/ref-type&gt;&lt;contributors&gt;&lt;authors&gt;&lt;author&gt;Khan, Asif&lt;/author&gt;&lt;author&gt;Aslam, Sheraz&lt;/author&gt;&lt;author&gt;Aurangzeb, Khursheed&lt;/author&gt;&lt;author&gt;Alhussein, Musaed&lt;/author&gt;&lt;author&gt;Javaid, Nadeem&lt;/author&gt;&lt;/authors&gt;&lt;/contributors&gt;&lt;titles&gt;&lt;title&gt;Multiscale modeling in smart cities: A survey on applications, current trends, and challenges&lt;/title&gt;&lt;secondary-title&gt;Sustainable Cities and Society&lt;/secondary-title&gt;&lt;/titles&gt;&lt;periodical&gt;&lt;full-title&gt;Sustainable Cities and Society&lt;/full-title&gt;&lt;/periodical&gt;&lt;pages&gt;103517&lt;/pages&gt;&lt;volume&gt;78&lt;/volume&gt;&lt;keywords&gt;&lt;keyword&gt;Multiscale modeling&lt;/keyword&gt;&lt;keyword&gt;Multiscale systems&lt;/keyword&gt;&lt;keyword&gt;Megacities&lt;/keyword&gt;&lt;keyword&gt;Smart cities&lt;/keyword&gt;&lt;keyword&gt;Sustainable cities&lt;/keyword&gt;&lt;keyword&gt;Multiscale modeling applications&lt;/keyword&gt;&lt;/keywords&gt;&lt;dates&gt;&lt;year&gt;2022&lt;/year&gt;&lt;pub-dates&gt;&lt;date&gt;2022/03/01/&lt;/date&gt;&lt;/pub-dates&gt;&lt;/dates&gt;&lt;isbn&gt;2210-6707&lt;/isbn&gt;&lt;urls&gt;&lt;related-urls&gt;&lt;url&gt;https://www.sciencedirect.com/science/article/pii/S2210670721007836&lt;/url&gt;&lt;/related-urls&gt;&lt;/urls&gt;&lt;electronic-resource-num&gt;https://doi.org/10.1016/j.scs.2021.103517&lt;/electronic-resource-num&gt;&lt;/record&gt;&lt;/Cite&gt;&lt;/EndNote&gt;</w:instrText>
      </w:r>
      <w:r w:rsidRPr="002A63BA">
        <w:rPr>
          <w:rFonts w:ascii="Open Sans" w:hAnsi="Open Sans" w:cs="Open Sans"/>
        </w:rPr>
        <w:fldChar w:fldCharType="separate"/>
      </w:r>
      <w:r w:rsidRPr="002A63BA">
        <w:rPr>
          <w:rFonts w:ascii="Open Sans" w:hAnsi="Open Sans" w:cs="Open Sans"/>
          <w:noProof/>
        </w:rPr>
        <w:t>(Khan, Aslam, Aurangzeb, Alhussein, &amp; Javaid, 2022)</w:t>
      </w:r>
      <w:r w:rsidRPr="002A63BA">
        <w:rPr>
          <w:rFonts w:ascii="Open Sans" w:hAnsi="Open Sans" w:cs="Open Sans"/>
        </w:rPr>
        <w:fldChar w:fldCharType="end"/>
      </w:r>
      <w:r w:rsidRPr="002A63BA">
        <w:rPr>
          <w:rFonts w:ascii="Open Sans" w:hAnsi="Open Sans" w:cs="Open Sans"/>
        </w:rPr>
        <w:t>:</w:t>
      </w:r>
    </w:p>
    <w:p w14:paraId="1E64C23E" w14:textId="77777777" w:rsidR="00AE101A" w:rsidRPr="002A63BA" w:rsidRDefault="00AE101A" w:rsidP="00FF3EE4">
      <w:pPr>
        <w:pStyle w:val="Odlomakpopisa"/>
        <w:numPr>
          <w:ilvl w:val="0"/>
          <w:numId w:val="1"/>
        </w:numPr>
        <w:spacing w:line="276" w:lineRule="auto"/>
        <w:rPr>
          <w:rFonts w:ascii="Open Sans" w:hAnsi="Open Sans" w:cs="Open Sans"/>
        </w:rPr>
      </w:pPr>
      <w:r w:rsidRPr="002A63BA">
        <w:rPr>
          <w:rFonts w:ascii="Open Sans" w:hAnsi="Open Sans" w:cs="Open Sans"/>
        </w:rPr>
        <w:t>Smart City 1.0: Development is driven solely by technological advances, but greater ones technology companies with many resources and influence, such as Google, IBM and CISCO. Criticism of the first phase of smart cities is mainly in the imposition of technology and the great impact that it is held by technology companies because of their position.</w:t>
      </w:r>
    </w:p>
    <w:p w14:paraId="1A7C7771" w14:textId="77777777" w:rsidR="00AE101A" w:rsidRPr="002A63BA" w:rsidRDefault="00AE101A" w:rsidP="00FF3EE4">
      <w:pPr>
        <w:pStyle w:val="Odlomakpopisa"/>
        <w:spacing w:line="276" w:lineRule="auto"/>
        <w:rPr>
          <w:rFonts w:ascii="Open Sans" w:hAnsi="Open Sans" w:cs="Open Sans"/>
        </w:rPr>
      </w:pPr>
    </w:p>
    <w:p w14:paraId="33FEDAA5" w14:textId="77777777" w:rsidR="00AE101A" w:rsidRPr="002A63BA" w:rsidRDefault="00AE101A" w:rsidP="00FF3EE4">
      <w:pPr>
        <w:pStyle w:val="Odlomakpopisa"/>
        <w:numPr>
          <w:ilvl w:val="0"/>
          <w:numId w:val="1"/>
        </w:numPr>
        <w:spacing w:line="276" w:lineRule="auto"/>
        <w:rPr>
          <w:rFonts w:ascii="Open Sans" w:hAnsi="Open Sans" w:cs="Open Sans"/>
        </w:rPr>
      </w:pPr>
      <w:r w:rsidRPr="002A63BA">
        <w:rPr>
          <w:rFonts w:ascii="Open Sans" w:hAnsi="Open Sans" w:cs="Open Sans"/>
        </w:rPr>
        <w:t xml:space="preserve">Smart City 2.0: The second phase of the smart city is also driven by technological progress, however, this one, unlike the first one, is </w:t>
      </w:r>
      <w:r w:rsidRPr="002A63BA">
        <w:rPr>
          <w:rFonts w:ascii="Open Sans" w:hAnsi="Open Sans" w:cs="Open Sans"/>
        </w:rPr>
        <w:lastRenderedPageBreak/>
        <w:t>aimed precisely at solving specific problems of the cities such as pollution, cleaning, health and transport. Problems are addressed and solved in cooperation with the residents, and their involvement is due to poor organizational structures still small.</w:t>
      </w:r>
    </w:p>
    <w:p w14:paraId="5316AAB1" w14:textId="77777777" w:rsidR="00AE101A" w:rsidRPr="002A63BA" w:rsidRDefault="00AE101A" w:rsidP="00FF3EE4">
      <w:pPr>
        <w:pStyle w:val="Odlomakpopisa"/>
        <w:spacing w:line="276" w:lineRule="auto"/>
        <w:rPr>
          <w:rFonts w:ascii="Open Sans" w:hAnsi="Open Sans" w:cs="Open Sans"/>
        </w:rPr>
      </w:pPr>
    </w:p>
    <w:p w14:paraId="279F3A15" w14:textId="77777777" w:rsidR="00AE101A" w:rsidRPr="002A63BA" w:rsidRDefault="00AE101A" w:rsidP="00FF3EE4">
      <w:pPr>
        <w:pStyle w:val="Odlomakpopisa"/>
        <w:numPr>
          <w:ilvl w:val="0"/>
          <w:numId w:val="1"/>
        </w:numPr>
        <w:spacing w:line="276" w:lineRule="auto"/>
        <w:rPr>
          <w:rFonts w:ascii="Open Sans" w:hAnsi="Open Sans" w:cs="Open Sans"/>
        </w:rPr>
      </w:pPr>
      <w:r w:rsidRPr="002A63BA">
        <w:rPr>
          <w:rFonts w:ascii="Open Sans" w:hAnsi="Open Sans" w:cs="Open Sans"/>
        </w:rPr>
        <w:t>Smart City 3.0: The third phase of a smart city is driven by the expectations of residents or users. A smart city thus represents the whole connected ecosystem, which brings together technologies, solutions, actors (management, strategists, solution providers) and users (residents) of the city including the IoT (Internet of things), 5G connectivity, transport, smart mobility, energy and public services, health and public safety, artificial intelligence and data analytics.</w:t>
      </w:r>
    </w:p>
    <w:p w14:paraId="2283F778" w14:textId="77777777" w:rsidR="00AE101A" w:rsidRPr="002A63BA" w:rsidRDefault="00AE101A" w:rsidP="00FF3EE4">
      <w:pPr>
        <w:pStyle w:val="Odlomakpopisa"/>
        <w:spacing w:line="276" w:lineRule="auto"/>
        <w:rPr>
          <w:rFonts w:ascii="Open Sans" w:hAnsi="Open Sans" w:cs="Open Sans"/>
        </w:rPr>
      </w:pPr>
    </w:p>
    <w:p w14:paraId="3BB98724" w14:textId="77777777" w:rsidR="00AE101A" w:rsidRPr="002A63BA" w:rsidRDefault="00AE101A" w:rsidP="00FF3EE4">
      <w:pPr>
        <w:pStyle w:val="Odlomakpopisa"/>
        <w:numPr>
          <w:ilvl w:val="0"/>
          <w:numId w:val="1"/>
        </w:numPr>
        <w:spacing w:line="276" w:lineRule="auto"/>
        <w:rPr>
          <w:rFonts w:ascii="Open Sans" w:hAnsi="Open Sans" w:cs="Open Sans"/>
        </w:rPr>
      </w:pPr>
      <w:r w:rsidRPr="002A63BA">
        <w:rPr>
          <w:rFonts w:ascii="Open Sans" w:hAnsi="Open Sans" w:cs="Open Sans"/>
        </w:rPr>
        <w:t>Smart City 4.0: With the Industrial revolution 4.0, the positive effects of smart cities are expected finally exceeded their costs. Smart City 4.0 brings together all the best properties of previous phases (technological disruption 1.0, individualization 2.0 and inclusion 3.0), but adds two key success factors: an integrated approach and problem solving of integration of different solutions. An integrated approach aims to integrate new technologies with old ones, and also includes the possibility of integrating with solutions not developed yet. Municipality management is well aware of the opportunities and limitations of new technologies and the overall impact that smart city technologies can have on their community. Self-awareness is still widespread in terms of influencing certain residents of the community, as not everyone feels the same positive effects.</w:t>
      </w:r>
    </w:p>
    <w:p w14:paraId="57825408" w14:textId="77777777" w:rsidR="00AE101A" w:rsidRPr="002A63BA" w:rsidRDefault="00AE101A" w:rsidP="00FF3EE4">
      <w:pPr>
        <w:pStyle w:val="Odlomakpopisa"/>
        <w:spacing w:line="276" w:lineRule="auto"/>
        <w:rPr>
          <w:rFonts w:ascii="Open Sans" w:hAnsi="Open Sans" w:cs="Open Sans"/>
        </w:rPr>
      </w:pPr>
    </w:p>
    <w:p w14:paraId="3DDE9C96" w14:textId="77777777" w:rsidR="00AE101A" w:rsidRPr="002A63BA" w:rsidRDefault="00AE101A" w:rsidP="00FF3EE4">
      <w:pPr>
        <w:pStyle w:val="Odlomakpopisa"/>
        <w:numPr>
          <w:ilvl w:val="0"/>
          <w:numId w:val="1"/>
        </w:numPr>
        <w:spacing w:line="276" w:lineRule="auto"/>
        <w:rPr>
          <w:rFonts w:ascii="Open Sans" w:hAnsi="Open Sans" w:cs="Open Sans"/>
        </w:rPr>
      </w:pPr>
      <w:r w:rsidRPr="002A63BA">
        <w:rPr>
          <w:rFonts w:ascii="Open Sans" w:hAnsi="Open Sans" w:cs="Open Sans"/>
        </w:rPr>
        <w:t xml:space="preserve">Smart City 5.0: The last phase of smart cities is dominated by artificial intelligence, namely cooperation between people and artificial intelligence systems. Its approach allows for consensus between different services and residents. Past and current events </w:t>
      </w:r>
      <w:r w:rsidRPr="002A63BA">
        <w:rPr>
          <w:rFonts w:ascii="Open Sans" w:hAnsi="Open Sans" w:cs="Open Sans"/>
        </w:rPr>
        <w:lastRenderedPageBreak/>
        <w:t>are constantly identified and analysed, which is then translated into plans, implementations and supervisions.</w:t>
      </w:r>
    </w:p>
    <w:p w14:paraId="2029ECA1" w14:textId="77777777" w:rsidR="00AE101A" w:rsidRPr="002A63BA" w:rsidRDefault="00AE101A" w:rsidP="00FF3EE4">
      <w:pPr>
        <w:spacing w:line="276" w:lineRule="auto"/>
        <w:jc w:val="center"/>
        <w:rPr>
          <w:rFonts w:ascii="Open Sans" w:hAnsi="Open Sans" w:cs="Open Sans"/>
        </w:rPr>
      </w:pPr>
      <w:r w:rsidRPr="002A63BA">
        <w:rPr>
          <w:rFonts w:ascii="Open Sans" w:hAnsi="Open Sans" w:cs="Open Sans"/>
          <w:noProof/>
          <w:lang w:val="hr-HR" w:eastAsia="hr-HR"/>
        </w:rPr>
        <w:drawing>
          <wp:inline distT="0" distB="0" distL="0" distR="0" wp14:anchorId="40F4B96E" wp14:editId="077A9059">
            <wp:extent cx="4669155" cy="2798445"/>
            <wp:effectExtent l="0" t="0" r="0" b="1905"/>
            <wp:docPr id="17" name="Picture 3" descr="https://ars.els-cdn.com/content/image/1-s2.0-S2210670721007836-g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s.els-cdn.com/content/image/1-s2.0-S2210670721007836-gr4.jpg"/>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4669155" cy="2798445"/>
                    </a:xfrm>
                    <a:prstGeom prst="rect">
                      <a:avLst/>
                    </a:prstGeom>
                    <a:noFill/>
                    <a:ln>
                      <a:noFill/>
                    </a:ln>
                  </pic:spPr>
                </pic:pic>
              </a:graphicData>
            </a:graphic>
          </wp:inline>
        </w:drawing>
      </w:r>
    </w:p>
    <w:p w14:paraId="03679091" w14:textId="77777777" w:rsidR="00AE101A" w:rsidRPr="002A63BA" w:rsidRDefault="00AE101A" w:rsidP="00FF3EE4">
      <w:pPr>
        <w:pStyle w:val="Opisslike"/>
        <w:keepNext/>
        <w:spacing w:line="276" w:lineRule="auto"/>
        <w:jc w:val="left"/>
        <w:rPr>
          <w:rFonts w:ascii="Open Sans" w:hAnsi="Open Sans" w:cs="Open Sans"/>
          <w:i w:val="0"/>
          <w:iCs w:val="0"/>
          <w:color w:val="auto"/>
          <w:sz w:val="22"/>
          <w:szCs w:val="22"/>
        </w:rPr>
      </w:pPr>
      <w:r w:rsidRPr="002A63BA">
        <w:rPr>
          <w:rFonts w:ascii="Open Sans" w:hAnsi="Open Sans" w:cs="Open Sans"/>
          <w:i w:val="0"/>
          <w:iCs w:val="0"/>
          <w:color w:val="auto"/>
          <w:sz w:val="22"/>
          <w:szCs w:val="22"/>
        </w:rPr>
        <w:t xml:space="preserve">Figure </w:t>
      </w:r>
      <w:r w:rsidRPr="002A63BA">
        <w:rPr>
          <w:rFonts w:ascii="Open Sans" w:hAnsi="Open Sans" w:cs="Open Sans"/>
          <w:i w:val="0"/>
          <w:iCs w:val="0"/>
          <w:color w:val="auto"/>
          <w:sz w:val="22"/>
          <w:szCs w:val="22"/>
        </w:rPr>
        <w:fldChar w:fldCharType="begin"/>
      </w:r>
      <w:r w:rsidRPr="002A63BA">
        <w:rPr>
          <w:rFonts w:ascii="Open Sans" w:hAnsi="Open Sans" w:cs="Open Sans"/>
          <w:i w:val="0"/>
          <w:iCs w:val="0"/>
          <w:color w:val="auto"/>
          <w:sz w:val="22"/>
          <w:szCs w:val="22"/>
        </w:rPr>
        <w:instrText xml:space="preserve"> SEQ Figure \* ARABIC </w:instrText>
      </w:r>
      <w:r w:rsidRPr="002A63BA">
        <w:rPr>
          <w:rFonts w:ascii="Open Sans" w:hAnsi="Open Sans" w:cs="Open Sans"/>
          <w:i w:val="0"/>
          <w:iCs w:val="0"/>
          <w:color w:val="auto"/>
          <w:sz w:val="22"/>
          <w:szCs w:val="22"/>
        </w:rPr>
        <w:fldChar w:fldCharType="separate"/>
      </w:r>
      <w:r w:rsidRPr="002A63BA">
        <w:rPr>
          <w:rFonts w:ascii="Open Sans" w:hAnsi="Open Sans" w:cs="Open Sans"/>
          <w:i w:val="0"/>
          <w:iCs w:val="0"/>
          <w:noProof/>
          <w:color w:val="auto"/>
          <w:sz w:val="22"/>
          <w:szCs w:val="22"/>
        </w:rPr>
        <w:t>1</w:t>
      </w:r>
      <w:r w:rsidRPr="002A63BA">
        <w:rPr>
          <w:rFonts w:ascii="Open Sans" w:hAnsi="Open Sans" w:cs="Open Sans"/>
          <w:i w:val="0"/>
          <w:iCs w:val="0"/>
          <w:color w:val="auto"/>
          <w:sz w:val="22"/>
          <w:szCs w:val="22"/>
        </w:rPr>
        <w:fldChar w:fldCharType="end"/>
      </w:r>
      <w:r w:rsidRPr="002A63BA">
        <w:rPr>
          <w:rFonts w:ascii="Open Sans" w:hAnsi="Open Sans" w:cs="Open Sans"/>
          <w:i w:val="0"/>
          <w:iCs w:val="0"/>
          <w:color w:val="auto"/>
          <w:sz w:val="22"/>
          <w:szCs w:val="22"/>
        </w:rPr>
        <w:t xml:space="preserve">: </w:t>
      </w:r>
      <w:r w:rsidRPr="002A63BA">
        <w:rPr>
          <w:rFonts w:ascii="Open Sans" w:hAnsi="Open Sans" w:cs="Open Sans"/>
          <w:color w:val="auto"/>
          <w:sz w:val="22"/>
          <w:szCs w:val="22"/>
        </w:rPr>
        <w:t>Stages of smart city development</w:t>
      </w:r>
      <w:r w:rsidRPr="002A63BA">
        <w:rPr>
          <w:rFonts w:ascii="Open Sans" w:hAnsi="Open Sans" w:cs="Open Sans"/>
          <w:i w:val="0"/>
          <w:iCs w:val="0"/>
          <w:sz w:val="22"/>
          <w:szCs w:val="22"/>
        </w:rPr>
        <w:t xml:space="preserve"> </w:t>
      </w:r>
      <w:r w:rsidRPr="002A63BA">
        <w:rPr>
          <w:rFonts w:ascii="Open Sans" w:hAnsi="Open Sans" w:cs="Open Sans"/>
          <w:i w:val="0"/>
          <w:iCs w:val="0"/>
          <w:sz w:val="22"/>
          <w:szCs w:val="22"/>
        </w:rPr>
        <w:fldChar w:fldCharType="begin"/>
      </w:r>
      <w:r w:rsidRPr="002A63BA">
        <w:rPr>
          <w:rFonts w:ascii="Open Sans" w:hAnsi="Open Sans" w:cs="Open Sans"/>
          <w:i w:val="0"/>
          <w:iCs w:val="0"/>
          <w:sz w:val="22"/>
          <w:szCs w:val="22"/>
        </w:rPr>
        <w:instrText xml:space="preserve"> ADDIN EN.CITE &lt;EndNote&gt;&lt;Cite&gt;&lt;Author&gt;Khan&lt;/Author&gt;&lt;Year&gt;2022&lt;/Year&gt;&lt;RecNum&gt;293&lt;/RecNum&gt;&lt;DisplayText&gt;(Khan, et al., 2022)&lt;/DisplayText&gt;&lt;record&gt;&lt;rec-number&gt;293&lt;/rec-number&gt;&lt;foreign-keys&gt;&lt;key app="EN" db-id="9xtppttv1tfpsqedswup2p2w5tvf59x5dt5d" timestamp="1653921007"&gt;293&lt;/key&gt;&lt;/foreign-keys&gt;&lt;ref-type name="Journal Article"&gt;17&lt;/ref-type&gt;&lt;contributors&gt;&lt;authors&gt;&lt;author&gt;Khan, Asif&lt;/author&gt;&lt;author&gt;Aslam, Sheraz&lt;/author&gt;&lt;author&gt;Aurangzeb, Khursheed&lt;/author&gt;&lt;author&gt;Alhussein, Musaed&lt;/author&gt;&lt;author&gt;Javaid, Nadeem&lt;/author&gt;&lt;/authors&gt;&lt;/contributors&gt;&lt;titles&gt;&lt;title&gt;Multiscale modeling in smart cities: A survey on applications, current trends, and challenges&lt;/title&gt;&lt;secondary-title&gt;Sustainable Cities and Society&lt;/secondary-title&gt;&lt;/titles&gt;&lt;periodical&gt;&lt;full-title&gt;Sustainable Cities and Society&lt;/full-title&gt;&lt;/periodical&gt;&lt;pages&gt;103517&lt;/pages&gt;&lt;volume&gt;78&lt;/volume&gt;&lt;keywords&gt;&lt;keyword&gt;Multiscale modeling&lt;/keyword&gt;&lt;keyword&gt;Multiscale systems&lt;/keyword&gt;&lt;keyword&gt;Megacities&lt;/keyword&gt;&lt;keyword&gt;Smart cities&lt;/keyword&gt;&lt;keyword&gt;Sustainable cities&lt;/keyword&gt;&lt;keyword&gt;Multiscale modeling applications&lt;/keyword&gt;&lt;/keywords&gt;&lt;dates&gt;&lt;year&gt;2022&lt;/year&gt;&lt;pub-dates&gt;&lt;date&gt;2022/03/01/&lt;/date&gt;&lt;/pub-dates&gt;&lt;/dates&gt;&lt;isbn&gt;2210-6707&lt;/isbn&gt;&lt;urls&gt;&lt;related-urls&gt;&lt;url&gt;https://www.sciencedirect.com/science/article/pii/S2210670721007836&lt;/url&gt;&lt;/related-urls&gt;&lt;/urls&gt;&lt;electronic-resource-num&gt;https://doi.org/10.1016/j.scs.2021.103517&lt;/electronic-resource-num&gt;&lt;/record&gt;&lt;/Cite&gt;&lt;/EndNote&gt;</w:instrText>
      </w:r>
      <w:r w:rsidRPr="002A63BA">
        <w:rPr>
          <w:rFonts w:ascii="Open Sans" w:hAnsi="Open Sans" w:cs="Open Sans"/>
          <w:i w:val="0"/>
          <w:iCs w:val="0"/>
          <w:sz w:val="22"/>
          <w:szCs w:val="22"/>
        </w:rPr>
        <w:fldChar w:fldCharType="separate"/>
      </w:r>
      <w:r w:rsidRPr="002A63BA">
        <w:rPr>
          <w:rFonts w:ascii="Open Sans" w:hAnsi="Open Sans" w:cs="Open Sans"/>
          <w:i w:val="0"/>
          <w:iCs w:val="0"/>
          <w:noProof/>
          <w:sz w:val="22"/>
          <w:szCs w:val="22"/>
        </w:rPr>
        <w:t>(Khan, et al., 2022)</w:t>
      </w:r>
      <w:r w:rsidRPr="002A63BA">
        <w:rPr>
          <w:rFonts w:ascii="Open Sans" w:hAnsi="Open Sans" w:cs="Open Sans"/>
          <w:i w:val="0"/>
          <w:iCs w:val="0"/>
          <w:sz w:val="22"/>
          <w:szCs w:val="22"/>
        </w:rPr>
        <w:fldChar w:fldCharType="end"/>
      </w:r>
    </w:p>
    <w:p w14:paraId="3721C75E" w14:textId="77777777" w:rsidR="00AE101A" w:rsidRPr="002A63BA" w:rsidRDefault="00AE101A" w:rsidP="00FF3EE4">
      <w:pPr>
        <w:pStyle w:val="N1"/>
      </w:pPr>
      <w:r w:rsidRPr="002A63BA">
        <w:t>CHALLENGES RELATED TO SMART CITIES</w:t>
      </w:r>
    </w:p>
    <w:p w14:paraId="25EA3FEF" w14:textId="77777777" w:rsidR="00AE101A" w:rsidRPr="002A63BA" w:rsidRDefault="00AE101A" w:rsidP="00FF3EE4">
      <w:pPr>
        <w:spacing w:line="276" w:lineRule="auto"/>
        <w:rPr>
          <w:rFonts w:ascii="Open Sans" w:hAnsi="Open Sans" w:cs="Open Sans"/>
          <w:noProof/>
          <w:spacing w:val="1"/>
        </w:rPr>
      </w:pPr>
      <w:r w:rsidRPr="002A63BA">
        <w:rPr>
          <w:rFonts w:ascii="Open Sans" w:hAnsi="Open Sans" w:cs="Open Sans"/>
          <w:noProof/>
        </w:rPr>
        <w:t xml:space="preserve">It becomes clear that a lot of challenges revolve around data security issues. Deloitte in 2015 reported that the technology used within smart cities requires a massive amount of data. Consequently, the question on how to deal with this data appropriately comes up. In a study conducted by Manfreda et al.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&lt;EndNote&gt;&lt;Cite&gt;&lt;Author&gt;Manfreda&lt;/Author&gt;&lt;Year&gt;2021&lt;/Year&gt;&lt;RecNum&gt;141&lt;/RecNum&gt;&lt;DisplayText&gt;(Manfreda, et al., 2021)&lt;/DisplayText&gt;&lt;record&gt;&lt;rec-number&gt;141&lt;/rec-number&gt;&lt;foreign-keys&gt;&lt;key app="EN" db-id="9xtppttv1tfpsqedswup2p2w5tvf59x5dt5d" timestamp="1644750140"&gt;141&lt;/key&gt;&lt;/foreign-keys&gt;&lt;ref-type name="Journal Article"&gt;17&lt;/ref-type&gt;&lt;contributors&gt;&lt;authors&gt;&lt;author&gt;Manfreda, Anton&lt;/author&gt;&lt;author&gt;Ljubi, Klara&lt;/author&gt;&lt;author&gt;Groznik, Aleš&lt;/author&gt;&lt;/authors&gt;&lt;/contributors&gt;&lt;titles&gt;&lt;title&gt;Autonomous vehicles in the smart city era: An empirical study of adoption factors important for millennials&lt;/title&gt;&lt;secondary-title&gt;International Journal of Information Management&lt;/secondary-title&gt;&lt;/titles&gt;&lt;periodical&gt;&lt;full-title&gt;International Journal of Information Management&lt;/full-title&gt;&lt;/periodical&gt;&lt;pages&gt;102050&lt;/pages&gt;&lt;volume&gt;58&lt;/volume&gt;&lt;dates&gt;&lt;year&gt;2021&lt;/year&gt;&lt;/dates&gt;&lt;isbn&gt;0268-4012&lt;/isbn&gt;&lt;urls&gt;&lt;/urls&gt;&lt;/record&gt;&lt;/Cite&gt;&lt;/EndNote&gt;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(Manfreda, et al., 2021)</w:t>
      </w:r>
      <w:r w:rsidRPr="002A63BA">
        <w:rPr>
          <w:rFonts w:ascii="Open Sans" w:hAnsi="Open Sans" w:cs="Open Sans"/>
          <w:noProof/>
        </w:rPr>
        <w:fldChar w:fldCharType="end"/>
      </w:r>
      <w:r w:rsidRPr="002A63BA">
        <w:rPr>
          <w:rFonts w:ascii="Open Sans" w:hAnsi="Open Sans" w:cs="Open Sans"/>
          <w:noProof/>
        </w:rPr>
        <w:t xml:space="preserve">, data security issues appeared to be very high. These potential privacy issues range from the citizens giving away confidential information unwillingly, users being monitored through their various activities, or even users not being able to access the system at all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&lt;EndNote&gt;&lt;Cite&gt;&lt;Author&gt;Haque&lt;/Author&gt;&lt;Year&gt;2021&lt;/Year&gt;&lt;RecNum&gt;264&lt;/RecNum&gt;&lt;DisplayText&gt;(Haque, et al., 2021)&lt;/DisplayText&gt;&lt;record&gt;&lt;rec-number&gt;264&lt;/rec-number&gt;&lt;foreign-keys&gt;&lt;key app="EN" db-id="9xtppttv1tfpsqedswup2p2w5tvf59x5dt5d" timestamp="1653854082"&gt;264&lt;/key&gt;&lt;/foreign-keys&gt;&lt;ref-type name="Journal Article"&gt;17&lt;/ref-type&gt;&lt;contributors&gt;&lt;authors&gt;&lt;author&gt;Haque, AKM Bahalul&lt;/author&gt;&lt;author&gt;Bhushan, Bharat&lt;/author&gt;&lt;author&gt;Dhiman, Gaurav&lt;/author&gt;&lt;/authors&gt;&lt;/contributors&gt;&lt;titles&gt;&lt;title&gt;Conceptualizing smart city applications: Requirements, architecture, security issues, and emerging trends&lt;/title&gt;&lt;secondary-title&gt;Expert Systems&lt;/secondary-title&gt;&lt;/titles&gt;&lt;periodical&gt;&lt;full-title&gt;Expert Systems&lt;/full-title&gt;&lt;/periodical&gt;&lt;dates&gt;&lt;year&gt;2021&lt;/year&gt;&lt;/dates&gt;&lt;isbn&gt;0266-4720&lt;/isbn&gt;&lt;urls&gt;&lt;/urls&gt;&lt;/record&gt;&lt;/Cite&gt;&lt;/EndNote&gt;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(Haque, et al., 2021)</w:t>
      </w:r>
      <w:r w:rsidRPr="002A63BA">
        <w:rPr>
          <w:rFonts w:ascii="Open Sans" w:hAnsi="Open Sans" w:cs="Open Sans"/>
          <w:noProof/>
        </w:rPr>
        <w:fldChar w:fldCharType="end"/>
      </w:r>
      <w:r w:rsidRPr="002A63BA">
        <w:rPr>
          <w:rFonts w:ascii="Open Sans" w:hAnsi="Open Sans" w:cs="Open Sans"/>
          <w:noProof/>
        </w:rPr>
        <w:t xml:space="preserve">. As currently most devices used for the implementation of smart solutions rely on third-party services, there is a great chance of </w:t>
      </w:r>
      <w:r w:rsidRPr="002A63BA">
        <w:rPr>
          <w:rFonts w:ascii="Open Sans" w:hAnsi="Open Sans" w:cs="Open Sans"/>
          <w:noProof/>
          <w:spacing w:val="1"/>
        </w:rPr>
        <w:t xml:space="preserve">hackers entering the system, spreading malware or feeding the system with wrong data. In the case of a large cyber-attack on a smart city, a well interconnected city might lose control over a lot of processes within its whole infrastructure </w:t>
      </w:r>
      <w:r w:rsidRPr="002A63BA">
        <w:rPr>
          <w:rFonts w:ascii="Open Sans" w:hAnsi="Open Sans" w:cs="Open Sans"/>
          <w:noProof/>
          <w:spacing w:val="1"/>
        </w:rPr>
        <w:fldChar w:fldCharType="begin"/>
      </w:r>
      <w:r w:rsidRPr="002A63BA">
        <w:rPr>
          <w:rFonts w:ascii="Open Sans" w:hAnsi="Open Sans" w:cs="Open Sans"/>
          <w:noProof/>
          <w:spacing w:val="1"/>
        </w:rPr>
        <w:instrText xml:space="preserve"> ADDIN EN.CITE &lt;EndNote&gt;&lt;Cite&gt;&lt;Author&gt;Haque&lt;/Author&gt;&lt;Year&gt;2021&lt;/Year&gt;&lt;RecNum&gt;264&lt;/RecNum&gt;&lt;DisplayText&gt;(Haque, et al., 2021)&lt;/DisplayText&gt;&lt;record&gt;&lt;rec-number&gt;264&lt;/rec-number&gt;&lt;foreign-keys&gt;&lt;key app="EN" db-id="9xtppttv1tfpsqedswup2p2w5tvf59x5dt5d" timestamp="1653854082"&gt;264&lt;/key&gt;&lt;/foreign-keys&gt;&lt;ref-type name="Journal Article"&gt;17&lt;/ref-type&gt;&lt;contributors&gt;&lt;authors&gt;&lt;author&gt;Haque, AKM Bahalul&lt;/author&gt;&lt;author&gt;Bhushan, Bharat&lt;/author&gt;&lt;author&gt;Dhiman, Gaurav&lt;/author&gt;&lt;/authors&gt;&lt;/contributors&gt;&lt;titles&gt;&lt;title&gt;Conceptualizing smart city applications: Requirements, architecture, security issues, and emerging trends&lt;/title&gt;&lt;secondary-title&gt;Expert Systems&lt;/secondary-title&gt;&lt;/titles&gt;&lt;periodical&gt;&lt;full-title&gt;Expert Systems&lt;/full-title&gt;&lt;/periodical&gt;&lt;dates&gt;&lt;year&gt;2021&lt;/year&gt;&lt;/dates&gt;&lt;isbn&gt;0266-4720&lt;/isbn&gt;&lt;urls&gt;&lt;/urls&gt;&lt;/record&gt;&lt;/Cite&gt;&lt;/EndNote&gt;</w:instrText>
      </w:r>
      <w:r w:rsidRPr="002A63BA">
        <w:rPr>
          <w:rFonts w:ascii="Open Sans" w:hAnsi="Open Sans" w:cs="Open Sans"/>
          <w:noProof/>
          <w:spacing w:val="1"/>
        </w:rPr>
        <w:fldChar w:fldCharType="separate"/>
      </w:r>
      <w:r w:rsidRPr="002A63BA">
        <w:rPr>
          <w:rFonts w:ascii="Open Sans" w:hAnsi="Open Sans" w:cs="Open Sans"/>
          <w:noProof/>
          <w:spacing w:val="1"/>
        </w:rPr>
        <w:t>(Haque, et al., 2021)</w:t>
      </w:r>
      <w:r w:rsidRPr="002A63BA">
        <w:rPr>
          <w:rFonts w:ascii="Open Sans" w:hAnsi="Open Sans" w:cs="Open Sans"/>
          <w:noProof/>
          <w:spacing w:val="1"/>
        </w:rPr>
        <w:fldChar w:fldCharType="end"/>
      </w:r>
      <w:r w:rsidRPr="002A63BA">
        <w:rPr>
          <w:rFonts w:ascii="Open Sans" w:hAnsi="Open Sans" w:cs="Open Sans"/>
          <w:noProof/>
          <w:spacing w:val="1"/>
        </w:rPr>
        <w:t>.</w:t>
      </w:r>
    </w:p>
    <w:p w14:paraId="26A3850C" w14:textId="77777777" w:rsidR="00AE101A" w:rsidRPr="002A63BA" w:rsidRDefault="00AE101A" w:rsidP="00FF3EE4">
      <w:pPr>
        <w:spacing w:line="276" w:lineRule="auto"/>
        <w:rPr>
          <w:rFonts w:ascii="Open Sans" w:hAnsi="Open Sans" w:cs="Open Sans"/>
          <w:noProof/>
          <w:spacing w:val="1"/>
        </w:rPr>
      </w:pPr>
      <w:r w:rsidRPr="002A63BA">
        <w:rPr>
          <w:rFonts w:ascii="Open Sans" w:hAnsi="Open Sans" w:cs="Open Sans"/>
          <w:noProof/>
          <w:spacing w:val="1"/>
        </w:rPr>
        <w:lastRenderedPageBreak/>
        <w:t xml:space="preserve">Adter all, big data offers cities the opportunity to gain valuable insights from the vast amount of data collected through a variety of sources, and the Internet of Things allows the integration of sensors in a real environment using high-network services. The combination of the Internet of Things and big data is an unexplored field of research that has brought new and exciting challenges to achieving the goal of future smart cities. These new challenges focus primarily on business and technology issues that enable cities to realize the vision, principles, and requirements of smart city applications by realizing the key features of a smart environment </w:t>
      </w:r>
      <w:r w:rsidRPr="002A63BA">
        <w:rPr>
          <w:rFonts w:ascii="Open Sans" w:hAnsi="Open Sans" w:cs="Open Sans"/>
          <w:noProof/>
          <w:spacing w:val="1"/>
        </w:rPr>
        <w:fldChar w:fldCharType="begin"/>
      </w:r>
      <w:r w:rsidRPr="002A63BA">
        <w:rPr>
          <w:rFonts w:ascii="Open Sans" w:hAnsi="Open Sans" w:cs="Open Sans"/>
          <w:noProof/>
          <w:spacing w:val="1"/>
        </w:rPr>
        <w:instrText xml:space="preserve"> ADDIN EN.CITE &lt;EndNote&gt;&lt;Cite&gt;&lt;Author&gt;Hashem&lt;/Author&gt;&lt;Year&gt;2016&lt;/Year&gt;&lt;RecNum&gt;292&lt;/RecNum&gt;&lt;DisplayText&gt;(Hashem et al., 2016)&lt;/DisplayText&gt;&lt;record&gt;&lt;rec-number&gt;292&lt;/rec-number&gt;&lt;foreign-keys&gt;&lt;key app="EN" db-id="9xtppttv1tfpsqedswup2p2w5tvf59x5dt5d" timestamp="1653916687"&gt;292&lt;/key&gt;&lt;/foreign-keys&gt;&lt;ref-type name="Journal Article"&gt;17&lt;/ref-type&gt;&lt;contributors&gt;&lt;authors&gt;&lt;author&gt;Hashem, Ibrahim Abaker Targio&lt;/author&gt;&lt;author&gt;Chang, Victor&lt;/author&gt;&lt;author&gt;Anuar, Nor Badrul&lt;/author&gt;&lt;author&gt;Adewole, Kayode&lt;/author&gt;&lt;author&gt;Yaqoob, Ibrar&lt;/author&gt;&lt;author&gt;Gani, Abdullah&lt;/author&gt;&lt;author&gt;Ahmed, Ejaz&lt;/author&gt;&lt;author&gt;Chiroma, Haruna&lt;/author&gt;&lt;/authors&gt;&lt;/contributors&gt;&lt;titles&gt;&lt;title&gt;The role of big data in smart city&lt;/title&gt;&lt;secondary-title&gt;International Journal of information management&lt;/secondary-title&gt;&lt;/titles&gt;&lt;periodical&gt;&lt;full-title&gt;International Journal of Information Management&lt;/full-title&gt;&lt;/periodical&gt;&lt;pages&gt;748-758&lt;/pages&gt;&lt;volume&gt;36&lt;/volume&gt;&lt;number&gt;5&lt;/number&gt;&lt;dates&gt;&lt;year&gt;2016&lt;/year&gt;&lt;/dates&gt;&lt;isbn&gt;0268-4012&lt;/isbn&gt;&lt;urls&gt;&lt;/urls&gt;&lt;/record&gt;&lt;/Cite&gt;&lt;/EndNote&gt;</w:instrText>
      </w:r>
      <w:r w:rsidRPr="002A63BA">
        <w:rPr>
          <w:rFonts w:ascii="Open Sans" w:hAnsi="Open Sans" w:cs="Open Sans"/>
          <w:noProof/>
          <w:spacing w:val="1"/>
        </w:rPr>
        <w:fldChar w:fldCharType="separate"/>
      </w:r>
      <w:r w:rsidRPr="002A63BA">
        <w:rPr>
          <w:rFonts w:ascii="Open Sans" w:hAnsi="Open Sans" w:cs="Open Sans"/>
          <w:noProof/>
          <w:spacing w:val="1"/>
        </w:rPr>
        <w:t>(Hashem et al., 2016)</w:t>
      </w:r>
      <w:r w:rsidRPr="002A63BA">
        <w:rPr>
          <w:rFonts w:ascii="Open Sans" w:hAnsi="Open Sans" w:cs="Open Sans"/>
          <w:noProof/>
          <w:spacing w:val="1"/>
        </w:rPr>
        <w:fldChar w:fldCharType="end"/>
      </w:r>
      <w:r w:rsidRPr="002A63BA">
        <w:rPr>
          <w:rFonts w:ascii="Open Sans" w:hAnsi="Open Sans" w:cs="Open Sans"/>
          <w:noProof/>
          <w:spacing w:val="1"/>
        </w:rPr>
        <w:t>.</w:t>
      </w:r>
    </w:p>
    <w:p w14:paraId="6A33F34D" w14:textId="77777777" w:rsidR="00AE101A" w:rsidRPr="002A63BA" w:rsidRDefault="00AE101A" w:rsidP="00FF3EE4">
      <w:pPr>
        <w:spacing w:line="276" w:lineRule="auto"/>
        <w:rPr>
          <w:rFonts w:ascii="Open Sans" w:hAnsi="Open Sans" w:cs="Open Sans"/>
          <w:noProof/>
        </w:rPr>
      </w:pPr>
      <w:r w:rsidRPr="002A63BA">
        <w:rPr>
          <w:rFonts w:ascii="Open Sans" w:hAnsi="Open Sans" w:cs="Open Sans"/>
          <w:noProof/>
        </w:rPr>
        <w:t xml:space="preserve">More generally, smart cities rely on the citizens actually using the provided solutions. The adoption of new technologies is highly dependable on the potential users’ belief that the solution is actually useful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&lt;EndNote&gt;&lt;Cite&gt;&lt;Author&gt;Manfreda&lt;/Author&gt;&lt;Year&gt;2021&lt;/Year&gt;&lt;RecNum&gt;141&lt;/RecNum&gt;&lt;DisplayText&gt;(Manfreda, et al., 2021)&lt;/DisplayText&gt;&lt;record&gt;&lt;rec-number&gt;141&lt;/rec-number&gt;&lt;foreign-keys&gt;&lt;key app="EN" db-id="9xtppttv1tfpsqedswup2p2w5tvf59x5dt5d" timestamp="1644750140"&gt;141&lt;/key&gt;&lt;/foreign-keys&gt;&lt;ref-type name="Journal Article"&gt;17&lt;/ref-type&gt;&lt;contributors&gt;&lt;authors&gt;&lt;author&gt;Manfreda, Anton&lt;/author&gt;&lt;author&gt;Ljubi, Klara&lt;/author&gt;&lt;author&gt;Groznik, Aleš&lt;/author&gt;&lt;/authors&gt;&lt;/contributors&gt;&lt;titles&gt;&lt;title&gt;Autonomous vehicles in the smart city era: An empirical study of adoption factors important for millennials&lt;/title&gt;&lt;secondary-title&gt;International Journal of Information Management&lt;/secondary-title&gt;&lt;/titles&gt;&lt;periodical&gt;&lt;full-title&gt;International Journal of Information Management&lt;/full-title&gt;&lt;/periodical&gt;&lt;pages&gt;102050&lt;/pages&gt;&lt;volume&gt;58&lt;/volume&gt;&lt;dates&gt;&lt;year&gt;2021&lt;/year&gt;&lt;/dates&gt;&lt;isbn&gt;0268-4012&lt;/isbn&gt;&lt;urls&gt;&lt;/urls&gt;&lt;/record&gt;&lt;/Cite&gt;&lt;/EndNote&gt;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(Manfreda, et al., 2021)</w:t>
      </w:r>
      <w:r w:rsidRPr="002A63BA">
        <w:rPr>
          <w:rFonts w:ascii="Open Sans" w:hAnsi="Open Sans" w:cs="Open Sans"/>
          <w:noProof/>
        </w:rPr>
        <w:fldChar w:fldCharType="end"/>
      </w:r>
      <w:r w:rsidRPr="002A63BA">
        <w:rPr>
          <w:rFonts w:ascii="Open Sans" w:hAnsi="Open Sans" w:cs="Open Sans"/>
          <w:noProof/>
        </w:rPr>
        <w:t xml:space="preserve">. Thus, there is an important question, if implemented solutions are really useful to the user, or if the solution solely feeds corporate interests </w:t>
      </w:r>
      <w:r w:rsidRPr="002A63BA">
        <w:rPr>
          <w:rFonts w:ascii="Open Sans" w:hAnsi="Open Sans" w:cs="Open Sans"/>
          <w:noProof/>
        </w:rPr>
        <w:fldChar w:fldCharType="begin"/>
      </w:r>
      <w:r w:rsidRPr="002A63BA">
        <w:rPr>
          <w:rFonts w:ascii="Open Sans" w:hAnsi="Open Sans" w:cs="Open Sans"/>
          <w:noProof/>
        </w:rPr>
        <w:instrText xml:space="preserve"> ADDIN EN.CITE &lt;EndNote&gt;&lt;Cite&gt;&lt;Author&gt;Calzada&lt;/Author&gt;&lt;Year&gt;2015&lt;/Year&gt;&lt;RecNum&gt;265&lt;/RecNum&gt;&lt;DisplayText&gt;(Calzada &amp;amp; Cobo, 2015)&lt;/DisplayText&gt;&lt;record&gt;&lt;rec-number&gt;265&lt;/rec-number&gt;&lt;foreign-keys&gt;&lt;key app="EN" db-id="9xtppttv1tfpsqedswup2p2w5tvf59x5dt5d" timestamp="1653854312"&gt;265&lt;/key&gt;&lt;/foreign-keys&gt;&lt;ref-type name="Journal Article"&gt;17&lt;/ref-type&gt;&lt;contributors&gt;&lt;authors&gt;&lt;author&gt;Calzada, Igor&lt;/author&gt;&lt;author&gt;Cobo, Cristobal&lt;/author&gt;&lt;/authors&gt;&lt;/contributors&gt;&lt;titles&gt;&lt;title&gt;Unplugging: Deconstructing the smart city&lt;/title&gt;&lt;secondary-title&gt;Journal of Urban Technology&lt;/secondary-title&gt;&lt;/titles&gt;&lt;periodical&gt;&lt;full-title&gt;Journal of Urban Technology&lt;/full-title&gt;&lt;/periodical&gt;&lt;pages&gt;23-43&lt;/pages&gt;&lt;volume&gt;22&lt;/volume&gt;&lt;number&gt;1&lt;/number&gt;&lt;dates&gt;&lt;year&gt;2015&lt;/year&gt;&lt;/dates&gt;&lt;isbn&gt;1063-0732&lt;/isbn&gt;&lt;urls&gt;&lt;/urls&gt;&lt;/record&gt;&lt;/Cite&gt;&lt;/EndNote&gt;</w:instrText>
      </w:r>
      <w:r w:rsidRPr="002A63BA">
        <w:rPr>
          <w:rFonts w:ascii="Open Sans" w:hAnsi="Open Sans" w:cs="Open Sans"/>
          <w:noProof/>
        </w:rPr>
        <w:fldChar w:fldCharType="separate"/>
      </w:r>
      <w:r w:rsidRPr="002A63BA">
        <w:rPr>
          <w:rFonts w:ascii="Open Sans" w:hAnsi="Open Sans" w:cs="Open Sans"/>
          <w:noProof/>
        </w:rPr>
        <w:t>(Calzada &amp; Cobo, 2015)</w:t>
      </w:r>
      <w:r w:rsidRPr="002A63BA">
        <w:rPr>
          <w:rFonts w:ascii="Open Sans" w:hAnsi="Open Sans" w:cs="Open Sans"/>
          <w:noProof/>
        </w:rPr>
        <w:fldChar w:fldCharType="end"/>
      </w:r>
      <w:r w:rsidRPr="002A63BA">
        <w:rPr>
          <w:rFonts w:ascii="Open Sans" w:hAnsi="Open Sans" w:cs="Open Sans"/>
          <w:noProof/>
        </w:rPr>
        <w:t>. This aspect cannot be highlighted enough, as the best solution is worthless if the users are not using it. Therefore, user-friendliness appears to be one of the most important aspects when creating a smart city solution. Additionally, one has to think about citizens who are not able to use technological devices or smart solutions in general. In their report from 2015, Deloitte describes this aspect as the potential of widening the gap between citizens, because some citizens might be “left behind” resulting from their low internet access or “digital savviness”.</w:t>
      </w:r>
    </w:p>
    <w:p w14:paraId="6609B7EC" w14:textId="77777777" w:rsidR="00AE101A" w:rsidRPr="002A63BA" w:rsidRDefault="00AE101A" w:rsidP="00FF3EE4">
      <w:pPr>
        <w:pStyle w:val="N1"/>
      </w:pPr>
      <w:r w:rsidRPr="002A63BA">
        <w:t>SELECTED TRENDS AND ISSUES</w:t>
      </w:r>
    </w:p>
    <w:p w14:paraId="1DE1C89B" w14:textId="77777777" w:rsidR="00AE101A" w:rsidRPr="002A63BA" w:rsidRDefault="00AE101A" w:rsidP="00FF3EE4">
      <w:pPr>
        <w:pStyle w:val="Naslov2"/>
        <w:spacing w:line="276" w:lineRule="auto"/>
        <w:rPr>
          <w:rFonts w:ascii="Open Sans" w:hAnsi="Open Sans" w:cs="Open Sans"/>
          <w:sz w:val="22"/>
          <w:szCs w:val="22"/>
        </w:rPr>
      </w:pPr>
      <w:r w:rsidRPr="002A63BA">
        <w:rPr>
          <w:rFonts w:ascii="Open Sans" w:hAnsi="Open Sans" w:cs="Open Sans"/>
          <w:sz w:val="22"/>
          <w:szCs w:val="22"/>
        </w:rPr>
        <w:t>Waste-reduction solutions</w:t>
      </w:r>
    </w:p>
    <w:p w14:paraId="79D99D0D"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Before industrialization and globalization processes started, solid waste did not pose a significant threat as the rate of its disposal per capita was incomparable to the contemporary levels. However, consequently, it has become an extensive problem due to the continuous growth of the population and the corresponding amount of waste generated. In </w:t>
      </w:r>
      <w:r w:rsidRPr="002A63BA">
        <w:rPr>
          <w:rFonts w:ascii="Open Sans" w:hAnsi="Open Sans" w:cs="Open Sans"/>
        </w:rPr>
        <w:lastRenderedPageBreak/>
        <w:t xml:space="preserve">particular, the amount of food waste worldwide is roughly equivalent to 1.3 billion tons, which is enough to feed 3 billion people. Comparing it to the 690 million people who suffer from malnutrition nowadays, we can clearly see that the situation can be significantly improved by the implementation of corresponding smart solutions. </w:t>
      </w:r>
    </w:p>
    <w:p w14:paraId="2C6AE526"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Some cities have managed to reduce the volume of solid waste generated by implementing effective recycling programs, but these programs have certain limitations. That is why existing waste management infrastructures for waste collection, segregation, transportation, and final disposal can be improved through the integration of smart city technologies such as the internet of things, artificial intelligence, cloud computing, and intelligent transportation systems with the existing waste management system and infrastructure for waste collection, segregation, transportation, treatment, and final disposal </w:t>
      </w:r>
      <w:r w:rsidRPr="002A63BA">
        <w:rPr>
          <w:rFonts w:ascii="Open Sans" w:hAnsi="Open Sans" w:cs="Open Sans"/>
        </w:rPr>
        <w:fldChar w:fldCharType="begin"/>
      </w:r>
      <w:r w:rsidRPr="002A63BA">
        <w:rPr>
          <w:rFonts w:ascii="Open Sans" w:hAnsi="Open Sans" w:cs="Open Sans"/>
        </w:rPr>
        <w:instrText xml:space="preserve"> ADDIN EN.CITE &lt;EndNote&gt;&lt;Cite&gt;&lt;Author&gt;Shukla&lt;/Author&gt;&lt;Year&gt;2022&lt;/Year&gt;&lt;RecNum&gt;279&lt;/RecNum&gt;&lt;DisplayText&gt;(Shukla &amp;amp; Hait, 2022)&lt;/DisplayText&gt;&lt;record&gt;&lt;rec-number&gt;279&lt;/rec-number&gt;&lt;foreign-keys&gt;&lt;key app="EN" db-id="9xtppttv1tfpsqedswup2p2w5tvf59x5dt5d" timestamp="1653903061"&gt;279&lt;/key&gt;&lt;/foreign-keys&gt;&lt;ref-type name="Journal Article"&gt;17&lt;/ref-type&gt;&lt;contributors&gt;&lt;authors&gt;&lt;author&gt;Shukla, Saurabh&lt;/author&gt;&lt;author&gt;Hait, Subrata&lt;/author&gt;&lt;/authors&gt;&lt;/contributors&gt;&lt;titles&gt;&lt;title&gt;Smart waste management practices in smart cities: Current trends and future perspectives&lt;/title&gt;&lt;secondary-title&gt;Advanced Organic Waste Management&lt;/secondary-title&gt;&lt;/titles&gt;&lt;periodical&gt;&lt;full-title&gt;Advanced Organic Waste Management&lt;/full-title&gt;&lt;/periodical&gt;&lt;pages&gt;407-424&lt;/pages&gt;&lt;dates&gt;&lt;year&gt;2022&lt;/year&gt;&lt;/dates&gt;&lt;urls&gt;&lt;/urls&gt;&lt;/record&gt;&lt;/Cite&gt;&lt;/EndNote&gt;</w:instrText>
      </w:r>
      <w:r w:rsidRPr="002A63BA">
        <w:rPr>
          <w:rFonts w:ascii="Open Sans" w:hAnsi="Open Sans" w:cs="Open Sans"/>
        </w:rPr>
        <w:fldChar w:fldCharType="separate"/>
      </w:r>
      <w:r w:rsidRPr="002A63BA">
        <w:rPr>
          <w:rFonts w:ascii="Open Sans" w:hAnsi="Open Sans" w:cs="Open Sans"/>
          <w:noProof/>
        </w:rPr>
        <w:t>(Shukla &amp; Hait, 2022)</w:t>
      </w:r>
      <w:r w:rsidRPr="002A63BA">
        <w:rPr>
          <w:rFonts w:ascii="Open Sans" w:hAnsi="Open Sans" w:cs="Open Sans"/>
        </w:rPr>
        <w:fldChar w:fldCharType="end"/>
      </w:r>
      <w:r w:rsidRPr="002A63BA">
        <w:rPr>
          <w:rFonts w:ascii="Open Sans" w:hAnsi="Open Sans" w:cs="Open Sans"/>
        </w:rPr>
        <w:t>.</w:t>
      </w:r>
    </w:p>
    <w:p w14:paraId="1BE5AC2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As a first solution, digital tracking and payment for waste disposal can potentially enable the city to charge citizens for the exact amount and type of trash they throw away. This practice is widely considered nowadays and detailed plans for its implementation are already established in some UK cities. The pay-as-you-throw system helps reduce the amount of unrecycled municipal solid waste generated per capita by 10–20 percent, while detailed insights from tracking increases awareness and motivates users to reduce waste. Basically, it prevents people from throwing away items without a need and encourages them to reduce the amount of waste generated in general </w:t>
      </w:r>
      <w:r w:rsidRPr="002A63BA">
        <w:rPr>
          <w:rFonts w:ascii="Open Sans" w:hAnsi="Open Sans" w:cs="Open Sans"/>
        </w:rPr>
        <w:fldChar w:fldCharType="begin"/>
      </w:r>
      <w:r w:rsidRPr="002A63BA">
        <w:rPr>
          <w:rFonts w:ascii="Open Sans" w:hAnsi="Open Sans" w:cs="Open Sans"/>
        </w:rPr>
        <w:instrText xml:space="preserve"> ADDIN EN.CITE &lt;EndNote&gt;&lt;Cite&gt;&lt;Author&gt;Woetzel&lt;/Author&gt;&lt;Year&gt;2018&lt;/Year&gt;&lt;RecNum&gt;278&lt;/RecNum&gt;&lt;DisplayText&gt;(Woetzel, et al., 2018)&lt;/DisplayText&gt;&lt;record&gt;&lt;rec-number&gt;278&lt;/rec-number&gt;&lt;foreign-keys&gt;&lt;key app="EN" db-id="9xtppttv1tfpsqedswup2p2w5tvf59x5dt5d" timestamp="1653902669"&gt;278&lt;/key&gt;&lt;/foreign-keys&gt;&lt;ref-type name="Report"&gt;27&lt;/ref-type&gt;&lt;contributors&gt;&lt;authors&gt;&lt;author&gt;Woetzel, Jonathan &lt;/author&gt;&lt;author&gt;Remes, Jaana &lt;/author&gt;&lt;author&gt;Boland, Brodie &lt;/author&gt;&lt;author&gt;Lv, Katrina &lt;/author&gt;&lt;author&gt;Sinha, Suveer &lt;/author&gt;&lt;author&gt;Strube, Gernot &lt;/author&gt;&lt;author&gt;Means, John &lt;/author&gt;&lt;author&gt;Law, Jonathan &lt;/author&gt;&lt;author&gt;Cadena,Andres &lt;/author&gt;&lt;author&gt;&lt;style face="normal" font="default" size="100%"&gt;von der Tann&lt;/style&gt;&lt;style face="normal" font="default" charset="238" size="100%"&gt;, &lt;/style&gt;&lt;style face="normal" font="default" size="100%"&gt;Valerie&lt;/style&gt;&lt;/author&gt;&lt;/authors&gt;&lt;/contributors&gt;&lt;titles&gt;&lt;title&gt;Smart cities: Digital solutions for a more livable future&lt;/title&gt;&lt;/titles&gt;&lt;dates&gt;&lt;year&gt;&lt;style face="normal" font="default" charset="238" size="100%"&gt;2018&lt;/style&gt;&lt;/year&gt;&lt;/dates&gt;&lt;publisher&gt;McKinsey&lt;/publisher&gt;&lt;urls&gt;&lt;related-urls&gt;&lt;url&gt;https://www.mckinsey.com/business-functions/operations/our-insights/smart-cities-digital-solutions-for-a-more-livable-future&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(Woetzel, et al., 2018)</w:t>
      </w:r>
      <w:r w:rsidRPr="002A63BA">
        <w:rPr>
          <w:rFonts w:ascii="Open Sans" w:hAnsi="Open Sans" w:cs="Open Sans"/>
        </w:rPr>
        <w:fldChar w:fldCharType="end"/>
      </w:r>
      <w:r w:rsidRPr="002A63BA">
        <w:rPr>
          <w:rFonts w:ascii="Open Sans" w:hAnsi="Open Sans" w:cs="Open Sans"/>
        </w:rPr>
        <w:t xml:space="preserve">. </w:t>
      </w:r>
    </w:p>
    <w:p w14:paraId="550A7410"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Another approach to the waste collection is used to optimize the process and to stop people from dumping waste in the containers meant for other categories of waste or simply on a street next to the full ones. This is achieved through the sensors inside trash bins to measure the current volume and timely direct the trucks to locations where they are needed. It does not only enforce the waste collection but also decreases the amount of energy consumed during the collection, which leads us to the next trend </w:t>
      </w:r>
      <w:r w:rsidRPr="002A63BA">
        <w:rPr>
          <w:rFonts w:ascii="Open Sans" w:hAnsi="Open Sans" w:cs="Open Sans"/>
        </w:rPr>
        <w:fldChar w:fldCharType="begin"/>
      </w:r>
      <w:r w:rsidRPr="002A63BA">
        <w:rPr>
          <w:rFonts w:ascii="Open Sans" w:hAnsi="Open Sans" w:cs="Open Sans"/>
        </w:rPr>
        <w:instrText xml:space="preserve"> ADDIN EN.CITE &lt;EndNote&gt;&lt;Cite&gt;&lt;Author&gt;Woetzel&lt;/Author&gt;&lt;Year&gt;2018&lt;/Year&gt;&lt;RecNum&gt;278&lt;/RecNum&gt;&lt;DisplayText&gt;(Woetzel, et al., 2018)&lt;/DisplayText&gt;&lt;record&gt;&lt;rec-number&gt;278&lt;/rec-number&gt;&lt;foreign-keys&gt;&lt;key app="EN" db-id="9xtppttv1tfpsqedswup2p2w5tvf59x5dt5d" timestamp="1653902669"&gt;278&lt;/key&gt;&lt;/foreign-keys&gt;&lt;ref-type name="Report"&gt;27&lt;/ref-type&gt;&lt;contributors&gt;&lt;authors&gt;&lt;author&gt;Woetzel, Jonathan &lt;/author&gt;&lt;author&gt;Remes, Jaana &lt;/author&gt;&lt;author&gt;Boland, Brodie &lt;/author&gt;&lt;author&gt;Lv, Katrina &lt;/author&gt;&lt;author&gt;Sinha, Suveer &lt;/author&gt;&lt;author&gt;Strube, Gernot &lt;/author&gt;&lt;author&gt;Means, John &lt;/author&gt;&lt;author&gt;Law, Jonathan &lt;/author&gt;&lt;author&gt;Cadena,Andres &lt;/author&gt;&lt;author&gt;&lt;style face="normal" font="default" size="100%"&gt;von der Tann&lt;/style&gt;&lt;style face="normal" font="default" charset="238" size="100%"&gt;, &lt;/style&gt;&lt;style face="normal" font="default" size="100%"&gt;Valerie&lt;/style&gt;&lt;/author&gt;&lt;/authors&gt;&lt;/contributors&gt;&lt;titles&gt;&lt;title&gt;Smart cities: Digital solutions for a more livable future&lt;/title&gt;&lt;/titles&gt;&lt;dates&gt;&lt;year&gt;&lt;style face="normal" font="default" charset="238" size="100%"&gt;2018&lt;/style&gt;&lt;/year&gt;&lt;/dates&gt;&lt;publisher&gt;McKinsey&lt;/publisher&gt;&lt;urls&gt;&lt;related-urls&gt;&lt;url&gt;https://www.mckinsey.com/business-functions/operations/our-insights/smart-cities-digital-solutions-for-a-more-livable-future&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(Woetzel, et al., 2018)</w:t>
      </w:r>
      <w:r w:rsidRPr="002A63BA">
        <w:rPr>
          <w:rFonts w:ascii="Open Sans" w:hAnsi="Open Sans" w:cs="Open Sans"/>
        </w:rPr>
        <w:fldChar w:fldCharType="end"/>
      </w:r>
      <w:r w:rsidRPr="002A63BA">
        <w:rPr>
          <w:rFonts w:ascii="Open Sans" w:hAnsi="Open Sans" w:cs="Open Sans"/>
        </w:rPr>
        <w:t>.</w:t>
      </w:r>
    </w:p>
    <w:p w14:paraId="0D137B7B" w14:textId="77777777" w:rsidR="00AE101A" w:rsidRPr="002A63BA" w:rsidRDefault="00AE101A" w:rsidP="00FF3EE4">
      <w:pPr>
        <w:pStyle w:val="Naslov2"/>
        <w:spacing w:line="276" w:lineRule="auto"/>
        <w:rPr>
          <w:rFonts w:ascii="Open Sans" w:eastAsia="Times New Roman" w:hAnsi="Open Sans" w:cs="Open Sans"/>
          <w:sz w:val="22"/>
          <w:szCs w:val="22"/>
        </w:rPr>
      </w:pPr>
      <w:r w:rsidRPr="002A63BA">
        <w:rPr>
          <w:rFonts w:ascii="Open Sans" w:eastAsia="Times New Roman" w:hAnsi="Open Sans" w:cs="Open Sans"/>
          <w:sz w:val="22"/>
          <w:szCs w:val="22"/>
        </w:rPr>
        <w:lastRenderedPageBreak/>
        <w:t>Energy-use optimization</w:t>
      </w:r>
    </w:p>
    <w:p w14:paraId="3F74E637"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Since urbanization is continuously growing cities require more and more energy. As a result, urban areas consume over two-thirds of the world’s energy and generate around 70 percent of its greenhouse gas emissions. Although energy consumption is a complex problem, it can be reduced through the integration of interconnected smart solutions that address the issue from multiple perspectives for the most effective results. The implementation of automated systems with smart meters and grids in commercial buildings and private households significantly optimize energy consumption as sensors collect the data for the analytics of existing inefficiencies, while grids minimize energy losses in transmission and distribution stages. Only in 2019, 123 billion U.S. dollars were spent on smart grids, while smart meter investments amounted to 21 billion U.S. dollars </w:t>
      </w:r>
      <w:r w:rsidRPr="002A63BA">
        <w:rPr>
          <w:rFonts w:ascii="Open Sans" w:hAnsi="Open Sans" w:cs="Open Sans"/>
        </w:rPr>
        <w:fldChar w:fldCharType="begin"/>
      </w:r>
      <w:r w:rsidRPr="002A63BA">
        <w:rPr>
          <w:rFonts w:ascii="Open Sans" w:hAnsi="Open Sans" w:cs="Open Sans"/>
        </w:rPr>
        <w:instrText xml:space="preserve"> ADDIN EN.CITE &lt;EndNote&gt;&lt;Cite&gt;&lt;Author&gt;Alves&lt;/Author&gt;&lt;Year&gt;2022&lt;/Year&gt;&lt;RecNum&gt;280&lt;/RecNum&gt;&lt;DisplayText&gt;(Alves, 2022)&lt;/DisplayText&gt;&lt;record&gt;&lt;rec-number&gt;280&lt;/rec-number&gt;&lt;foreign-keys&gt;&lt;key app="EN" db-id="9xtppttv1tfpsqedswup2p2w5tvf59x5dt5d" timestamp="1653903679"&gt;280&lt;/key&gt;&lt;/foreign-keys&gt;&lt;ref-type name="Report"&gt;27&lt;/ref-type&gt;&lt;contributors&gt;&lt;authors&gt;&lt;author&gt;&lt;style face="normal" font="default" size="100%"&gt;Alves, B&lt;/style&gt;&lt;style face="normal" font="default" charset="238" size="100%"&gt;runa&lt;/style&gt;&lt;style face="normal" font="default" size="100%"&gt; &lt;/style&gt;&lt;/author&gt;&lt;/authors&gt;&lt;/contributors&gt;&lt;titles&gt;&lt;title&gt;Global smart grid investments 2014-2019&lt;/title&gt;&lt;/titles&gt;&lt;dates&gt;&lt;year&gt;&lt;style face="normal" font="default" charset="238" size="100%"&gt;2022&lt;/style&gt;&lt;/year&gt;&lt;/dates&gt;&lt;publisher&gt;&lt;style face="normal" font="default" charset="238" size="100%"&gt;Statista&lt;/style&gt;&lt;/publisher&gt;&lt;urls&gt;&lt;related-urls&gt;&lt;url&gt;https://www.statista.com/statistics/269092/investments-in-components-for-the-smart-grid/&lt;/url&gt;&lt;/related-urls&gt;&lt;/urls&gt;&lt;/record&gt;&lt;/Cite&gt;&lt;/EndNote&gt;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(Alves, 2022)</w:t>
      </w:r>
      <w:r w:rsidRPr="002A63BA">
        <w:rPr>
          <w:rFonts w:ascii="Open Sans" w:hAnsi="Open Sans" w:cs="Open Sans"/>
        </w:rPr>
        <w:fldChar w:fldCharType="end"/>
      </w:r>
      <w:r w:rsidRPr="002A63BA">
        <w:rPr>
          <w:rFonts w:ascii="Open Sans" w:hAnsi="Open Sans" w:cs="Open Sans"/>
        </w:rPr>
        <w:t xml:space="preserve">. </w:t>
      </w:r>
    </w:p>
    <w:p w14:paraId="02B09F3B"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In addition, dynamic electricity pricing can be implemented through smart meters that record the consumption of energy and communicate this data to the suppliers. The collected data can be used for price differentiation based on the season and the time of day. This approach is supposed to encourage end-users to be more responsive and efficient since all the information on their consumption and prices is visible in the responsive mobile apps. However, the savings are not expected to be significant for private households. Therefore, optimization could be further encouraged through various aspects to make consumers more aware of their energy usage and influence them to change their behavior to decrease their energy consumption, while the increased efficiency of the energy delivery by smart grids also decreases the costs and creates an incentive for lower consumption </w:t>
      </w:r>
      <w:r w:rsidRPr="002A63BA">
        <w:rPr>
          <w:rFonts w:ascii="Open Sans" w:hAnsi="Open Sans" w:cs="Open Sans"/>
        </w:rPr>
        <w:fldChar w:fldCharType="begin"/>
      </w:r>
      <w:r w:rsidRPr="002A63BA">
        <w:rPr>
          <w:rFonts w:ascii="Open Sans" w:hAnsi="Open Sans" w:cs="Open Sans"/>
        </w:rPr>
        <w:instrText xml:space="preserve"> ADDIN EN.CITE &lt;EndNote&gt;&lt;Cite&gt;&lt;Author&gt;Woetzel&lt;/Author&gt;&lt;Year&gt;2018&lt;/Year&gt;&lt;RecNum&gt;278&lt;/RecNum&gt;&lt;DisplayText&gt;(Woetzel, et al., 2018)&lt;/DisplayText&gt;&lt;record&gt;&lt;rec-number&gt;278&lt;/rec-number&gt;&lt;foreign-keys&gt;&lt;key app="EN" db-id="9xtppttv1tfpsqedswup2p2w5tvf59x5dt5d" timestamp="1653902669"&gt;278&lt;/key&gt;&lt;/foreign-keys&gt;&lt;ref-type name="Report"&gt;27&lt;/ref-type&gt;&lt;contributors&gt;&lt;authors&gt;&lt;author&gt;Woetzel, Jonathan &lt;/author&gt;&lt;author&gt;Remes, Jaana &lt;/author&gt;&lt;author&gt;Boland, Brodie &lt;/author&gt;&lt;author&gt;Lv, Katrina &lt;/author&gt;&lt;author&gt;Sinha, Suveer &lt;/author&gt;&lt;author&gt;Strube, Gernot &lt;/author&gt;&lt;author&gt;Means, John &lt;/author&gt;&lt;author&gt;Law, Jonathan &lt;/author&gt;&lt;author&gt;Cadena,Andres &lt;/author&gt;&lt;author&gt;&lt;style face="normal" font="default" size="100%"&gt;von der Tann&lt;/style&gt;&lt;style face="normal" font="default" charset="238" size="100%"&gt;, &lt;/style&gt;&lt;style face="normal" font="default" size="100%"&gt;Valerie&lt;/style&gt;&lt;/author&gt;&lt;/authors&gt;&lt;/contributors&gt;&lt;titles&gt;&lt;title&gt;Smart cities: Digital solutions for a more livable future&lt;/title&gt;&lt;/titles&gt;&lt;dates&gt;&lt;year&gt;&lt;style face="normal" font="default" charset="238" size="100%"&gt;2018&lt;/style&gt;&lt;/year&gt;&lt;/dates&gt;&lt;publisher&gt;McKinsey&lt;/publisher&gt;&lt;urls&gt;&lt;related-urls&gt;&lt;url&gt;https://www.mckinsey.com/business-functions/operations/our-insights/smart-cities-digital-solutions-for-a-more-livable-future&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(Woetzel, et al., 2018)</w:t>
      </w:r>
      <w:r w:rsidRPr="002A63BA">
        <w:rPr>
          <w:rFonts w:ascii="Open Sans" w:hAnsi="Open Sans" w:cs="Open Sans"/>
        </w:rPr>
        <w:fldChar w:fldCharType="end"/>
      </w:r>
      <w:r w:rsidRPr="002A63BA">
        <w:rPr>
          <w:rFonts w:ascii="Open Sans" w:hAnsi="Open Sans" w:cs="Open Sans"/>
        </w:rPr>
        <w:t>.</w:t>
      </w:r>
    </w:p>
    <w:p w14:paraId="4CD94657"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As the need and will for electric vehicles rises, and consumers start using these more, the need for charging infrastructure also increases. Even though consumers are mainly shifting to EV from environmental and economic benefits’ perspective, there are some factors that are still limiting the non-EV users to purchase one such as the fear that the battery </w:t>
      </w:r>
      <w:r w:rsidRPr="002A63BA">
        <w:rPr>
          <w:rFonts w:ascii="Open Sans" w:hAnsi="Open Sans" w:cs="Open Sans"/>
        </w:rPr>
        <w:lastRenderedPageBreak/>
        <w:t>will drain before someone reaches the destination, lack of charging stations, long charging times. This is why it is expected that cities will have to act on this by setting up more charging stations in places where the frequency of people is high.</w:t>
      </w:r>
    </w:p>
    <w:p w14:paraId="466C6261" w14:textId="77777777" w:rsidR="00AE101A" w:rsidRPr="002A63BA" w:rsidRDefault="00AE101A" w:rsidP="00FF3EE4">
      <w:pPr>
        <w:pStyle w:val="Naslov2"/>
        <w:spacing w:line="276" w:lineRule="auto"/>
        <w:rPr>
          <w:rFonts w:ascii="Open Sans" w:hAnsi="Open Sans" w:cs="Open Sans"/>
          <w:sz w:val="22"/>
          <w:szCs w:val="22"/>
        </w:rPr>
      </w:pPr>
      <w:r w:rsidRPr="002A63BA">
        <w:rPr>
          <w:rFonts w:ascii="Open Sans" w:hAnsi="Open Sans" w:cs="Open Sans"/>
          <w:sz w:val="22"/>
          <w:szCs w:val="22"/>
        </w:rPr>
        <w:t xml:space="preserve">Air-quality monitoring </w:t>
      </w:r>
    </w:p>
    <w:p w14:paraId="47070DDC"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The problem of air pollution is also extremely relevant nowadays. It is not surprising that many smart cities pay great attention to this issue and implement different solutions to overcome it. The increasing rate of CO2 emissions is the biggest concern in this field as it directly contributes to global warming. Many cities have developed certain strategies for the reduction of CO2 emissions, while some of them even plan to reach zero-emission levels in the nearest future. Some measures are taken on a bigger level, for example, to cut carbon emissions by at least 55 percent by the year 2030, compared with the levels in 1990 </w:t>
      </w:r>
      <w:r w:rsidRPr="002A63BA">
        <w:rPr>
          <w:rFonts w:ascii="Open Sans" w:hAnsi="Open Sans" w:cs="Open Sans"/>
        </w:rPr>
        <w:fldChar w:fldCharType="begin"/>
      </w:r>
      <w:r w:rsidRPr="002A63BA">
        <w:rPr>
          <w:rFonts w:ascii="Open Sans" w:hAnsi="Open Sans" w:cs="Open Sans"/>
        </w:rPr>
        <w:instrText xml:space="preserve"> ADDIN EN.CITE &lt;EndNote&gt;&lt;Cite&gt;&lt;Author&gt;European Commission&lt;/Author&gt;&lt;Year&gt;2021&lt;/Year&gt;&lt;RecNum&gt;89&lt;/RecNum&gt;&lt;DisplayText&gt;(European Commission, 2021)&lt;/DisplayText&gt;&lt;record&gt;&lt;rec-number&gt;89&lt;/rec-number&gt;&lt;foreign-keys&gt;&lt;key app="EN" db-id="9xtppttv1tfpsqedswup2p2w5tvf59x5dt5d" timestamp="1644745127"&gt;89&lt;/key&gt;&lt;/foreign-keys&gt;&lt;ref-type name="Government Document"&gt;46&lt;/ref-type&gt;&lt;contributors&gt;&lt;authors&gt;&lt;author&gt;&lt;style face="normal" font="default" size="100%"&gt;European Commission&lt;/style&gt;&lt;style face="normal" font="default" charset="238" size="100%"&gt;,&lt;/style&gt;&lt;/author&gt;&lt;/authors&gt;&lt;/contributors&gt;&lt;titles&gt;&lt;title&gt;Transport and the Green Deal&lt;/title&gt;&lt;/titles&gt;&lt;dates&gt;&lt;year&gt;&lt;style face="normal" font="default" charset="238" size="100%"&gt;2021&lt;/style&gt;&lt;/year&gt;&lt;/dates&gt;&lt;urls&gt;&lt;related-urls&gt;&lt;url&gt;https://ec.europa.eu/info/strategy/priorities-2019-2024/european-green-deal/transport-and-green-deal_en&lt;/url&gt;&lt;/related-urls&gt;&lt;/urls&gt;&lt;/record&gt;&lt;/Cite&gt;&lt;/EndNote&gt;</w:instrText>
      </w:r>
      <w:r w:rsidRPr="002A63BA">
        <w:rPr>
          <w:rFonts w:ascii="Open Sans" w:hAnsi="Open Sans" w:cs="Open Sans"/>
        </w:rPr>
        <w:fldChar w:fldCharType="separate"/>
      </w:r>
      <w:r w:rsidRPr="002A63BA">
        <w:rPr>
          <w:rFonts w:ascii="Open Sans" w:hAnsi="Open Sans" w:cs="Open Sans"/>
          <w:noProof/>
        </w:rPr>
        <w:t>(European Commission, 2021)</w:t>
      </w:r>
      <w:r w:rsidRPr="002A63BA">
        <w:rPr>
          <w:rFonts w:ascii="Open Sans" w:hAnsi="Open Sans" w:cs="Open Sans"/>
        </w:rPr>
        <w:fldChar w:fldCharType="end"/>
      </w:r>
      <w:r w:rsidRPr="002A63BA">
        <w:rPr>
          <w:rFonts w:ascii="Open Sans" w:hAnsi="Open Sans" w:cs="Open Sans"/>
        </w:rPr>
        <w:t xml:space="preserve">. </w:t>
      </w:r>
    </w:p>
    <w:p w14:paraId="74AB9CF7"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Thus, it is crucial to detect and monitor the level of pollution. It helps to identify the most problematic areas and potential causes, hence, effectively implementing necessary preventive solutions. In addition, the progress can be easily tracked like this. In order to monitor air pollution, smart cities implement various technologies including IoT, integrating low-cost sensors, satellite data, and data mining tools. Some countries use vehicles that are equipped with special detectors which analyse the air for various types of emissions. Consequently, based on the acquired data, the pollution maps are composed. Mobile sensors are also gaining popularity in source estimation, health exposure assessment, and creating awareness regarding the problem </w:t>
      </w:r>
      <w:r w:rsidRPr="002A63BA">
        <w:rPr>
          <w:rFonts w:ascii="Open Sans" w:hAnsi="Open Sans" w:cs="Open Sans"/>
        </w:rPr>
        <w:fldChar w:fldCharType="begin"/>
      </w:r>
      <w:r w:rsidRPr="002A63BA">
        <w:rPr>
          <w:rFonts w:ascii="Open Sans" w:hAnsi="Open Sans" w:cs="Open Sans"/>
        </w:rPr>
        <w:instrText xml:space="preserve"> ADDIN EN.CITE &lt;EndNote&gt;&lt;Cite&gt;&lt;Author&gt;Kaginalkar&lt;/Author&gt;&lt;Year&gt;2021&lt;/Year&gt;&lt;RecNum&gt;281&lt;/RecNum&gt;&lt;DisplayText&gt;(Kaginalkar, Kumar, Gargava, &amp;amp; Niyogi, 2021)&lt;/DisplayText&gt;&lt;record&gt;&lt;rec-number&gt;281&lt;/rec-number&gt;&lt;foreign-keys&gt;&lt;key app="EN" db-id="9xtppttv1tfpsqedswup2p2w5tvf59x5dt5d" timestamp="1653903995"&gt;281&lt;/key&gt;&lt;/foreign-keys&gt;&lt;ref-type name="Journal Article"&gt;17&lt;/ref-type&gt;&lt;contributors&gt;&lt;authors&gt;&lt;author&gt;Kaginalkar, Akshara&lt;/author&gt;&lt;author&gt;Kumar, Shamita&lt;/author&gt;&lt;author&gt;Gargava, Prashant&lt;/author&gt;&lt;author&gt;Niyogi, Dev&lt;/author&gt;&lt;/authors&gt;&lt;/contributors&gt;&lt;titles&gt;&lt;title&gt;Review of urban computing in air quality management as smart city service: An integrated IoT, AI, and cloud technology perspective&lt;/title&gt;&lt;secondary-title&gt;Urban Climate&lt;/secondary-title&gt;&lt;/titles&gt;&lt;periodical&gt;&lt;full-title&gt;Urban Climate&lt;/full-title&gt;&lt;/periodical&gt;&lt;pages&gt;100972&lt;/pages&gt;&lt;volume&gt;39&lt;/volume&gt;&lt;dates&gt;&lt;year&gt;2021&lt;/year&gt;&lt;/dates&gt;&lt;isbn&gt;2212-0955&lt;/isbn&gt;&lt;urls&gt;&lt;/urls&gt;&lt;/record&gt;&lt;/Cite&gt;&lt;/EndNote&gt;</w:instrText>
      </w:r>
      <w:r w:rsidRPr="002A63BA">
        <w:rPr>
          <w:rFonts w:ascii="Open Sans" w:hAnsi="Open Sans" w:cs="Open Sans"/>
        </w:rPr>
        <w:fldChar w:fldCharType="separate"/>
      </w:r>
      <w:r w:rsidRPr="002A63BA">
        <w:rPr>
          <w:rFonts w:ascii="Open Sans" w:hAnsi="Open Sans" w:cs="Open Sans"/>
          <w:noProof/>
        </w:rPr>
        <w:t>(Kaginalkar, Kumar, Gargava, &amp; Niyogi, 2021)</w:t>
      </w:r>
      <w:r w:rsidRPr="002A63BA">
        <w:rPr>
          <w:rFonts w:ascii="Open Sans" w:hAnsi="Open Sans" w:cs="Open Sans"/>
        </w:rPr>
        <w:fldChar w:fldCharType="end"/>
      </w:r>
      <w:r w:rsidRPr="002A63BA">
        <w:rPr>
          <w:rFonts w:ascii="Open Sans" w:hAnsi="Open Sans" w:cs="Open Sans"/>
        </w:rPr>
        <w:t>.</w:t>
      </w:r>
    </w:p>
    <w:p w14:paraId="76B1AD15" w14:textId="77777777" w:rsidR="00AE101A" w:rsidRPr="002A63BA" w:rsidRDefault="00AE101A" w:rsidP="00FF3EE4">
      <w:pPr>
        <w:spacing w:line="276" w:lineRule="auto"/>
        <w:rPr>
          <w:rFonts w:ascii="Open Sans" w:hAnsi="Open Sans" w:cs="Open Sans"/>
          <w:b/>
        </w:rPr>
      </w:pPr>
      <w:r w:rsidRPr="002A63BA">
        <w:rPr>
          <w:rFonts w:ascii="Open Sans" w:hAnsi="Open Sans" w:cs="Open Sans"/>
        </w:rPr>
        <w:t>However, awareness does not resolve the issue on its own. The data collected through the integrated technologies merely enables the city to make objective and informed decisions to improve the situation.</w:t>
      </w:r>
    </w:p>
    <w:p w14:paraId="1949FA7D" w14:textId="77777777" w:rsidR="00AE101A" w:rsidRPr="002A63BA" w:rsidRDefault="00AE101A" w:rsidP="00FF3EE4">
      <w:pPr>
        <w:pStyle w:val="N1"/>
      </w:pPr>
      <w:r w:rsidRPr="002A63BA">
        <w:lastRenderedPageBreak/>
        <w:t>RESEARCH METHODOLOGY</w:t>
      </w:r>
    </w:p>
    <w:p w14:paraId="461B4AA0"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To address the research question regarding how smart city services are perceived among general population in Slovenia and Croatia, a sample of 1.390 Slovenian and Croatian residents was analysed. Data collection was performed using an online survey tool. Data were collected over the course of ten months from June 2020 to March 2021. Altogether, 1390 individuals completed the survey with the necessary data for the analysis, while 2.937 individuals received the questionnaire. Descriptive statistics and mean comparisons were used for examination of differences between perceptions of smart city services between Slovene and Croatian residents. </w:t>
      </w:r>
    </w:p>
    <w:p w14:paraId="200AC554" w14:textId="77777777" w:rsidR="00AE101A" w:rsidRPr="002A63BA" w:rsidRDefault="00AE101A" w:rsidP="00FF3EE4">
      <w:pPr>
        <w:pStyle w:val="N1"/>
      </w:pPr>
      <w:r w:rsidRPr="002A63BA">
        <w:t>DATA ANALYSIS</w:t>
      </w:r>
    </w:p>
    <w:p w14:paraId="5840DBE4"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The sample includes 1390 respondents from Slovenia and Croatia that are mostly university students between 21 and 30 years living in urban settlements (see table 1). </w:t>
      </w:r>
    </w:p>
    <w:p w14:paraId="4B409265" w14:textId="77777777" w:rsidR="00AE101A" w:rsidRPr="002A63BA" w:rsidRDefault="00AE101A" w:rsidP="00FF3EE4">
      <w:pPr>
        <w:spacing w:after="0" w:line="276" w:lineRule="auto"/>
        <w:jc w:val="left"/>
        <w:rPr>
          <w:rFonts w:ascii="Open Sans" w:eastAsia="Times New Roman" w:hAnsi="Open Sans" w:cs="Open Sans"/>
          <w:color w:val="2E2E2E"/>
          <w:lang w:eastAsia="sl-SI"/>
        </w:rPr>
      </w:pPr>
      <w:r w:rsidRPr="002A63BA">
        <w:rPr>
          <w:rFonts w:ascii="Open Sans" w:eastAsia="Times New Roman" w:hAnsi="Open Sans" w:cs="Open Sans"/>
          <w:color w:val="2E2E2E"/>
          <w:lang w:eastAsia="sl-SI"/>
        </w:rPr>
        <w:t>Table 1. Profile of the respondents.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06"/>
        <w:gridCol w:w="3825"/>
        <w:gridCol w:w="997"/>
      </w:tblGrid>
      <w:tr w:rsidR="00AE101A" w:rsidRPr="002A63BA" w14:paraId="43AD627E" w14:textId="77777777" w:rsidTr="00FF3EE4">
        <w:trPr>
          <w:trHeight w:val="161"/>
          <w:tblHeader/>
        </w:trPr>
        <w:tc>
          <w:tcPr>
            <w:tcW w:w="0" w:type="auto"/>
            <w:gridSpan w:val="2"/>
            <w:tcMar>
              <w:top w:w="75" w:type="dxa"/>
              <w:left w:w="75" w:type="dxa"/>
              <w:bottom w:w="75" w:type="dxa"/>
              <w:right w:w="75" w:type="dxa"/>
            </w:tcMar>
            <w:hideMark/>
          </w:tcPr>
          <w:p w14:paraId="073CFAFF"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4975B4FE" w14:textId="77777777" w:rsidR="00AE101A" w:rsidRPr="002A63BA" w:rsidRDefault="00AE101A" w:rsidP="00FF3EE4">
            <w:pPr>
              <w:spacing w:after="0" w:line="276" w:lineRule="auto"/>
              <w:jc w:val="center"/>
              <w:rPr>
                <w:rFonts w:ascii="Open Sans" w:eastAsia="Times New Roman" w:hAnsi="Open Sans" w:cs="Open Sans"/>
                <w:b/>
                <w:bCs/>
                <w:lang w:eastAsia="sl-SI"/>
              </w:rPr>
            </w:pPr>
            <w:r w:rsidRPr="002A63BA">
              <w:rPr>
                <w:rFonts w:ascii="Open Sans" w:eastAsia="Times New Roman" w:hAnsi="Open Sans" w:cs="Open Sans"/>
                <w:b/>
                <w:bCs/>
                <w:lang w:eastAsia="sl-SI"/>
              </w:rPr>
              <w:t>Share (%)</w:t>
            </w:r>
          </w:p>
        </w:tc>
      </w:tr>
      <w:tr w:rsidR="00AE101A" w:rsidRPr="002A63BA" w14:paraId="304673B0" w14:textId="77777777" w:rsidTr="00FF3EE4">
        <w:trPr>
          <w:trHeight w:val="161"/>
        </w:trPr>
        <w:tc>
          <w:tcPr>
            <w:tcW w:w="0" w:type="auto"/>
            <w:vMerge w:val="restart"/>
            <w:tcMar>
              <w:top w:w="75" w:type="dxa"/>
              <w:left w:w="75" w:type="dxa"/>
              <w:bottom w:w="75" w:type="dxa"/>
              <w:right w:w="75" w:type="dxa"/>
            </w:tcMar>
            <w:hideMark/>
          </w:tcPr>
          <w:p w14:paraId="6DA85D07" w14:textId="77777777" w:rsidR="00AE101A" w:rsidRPr="002A63BA" w:rsidRDefault="00AE101A" w:rsidP="00FF3EE4">
            <w:pPr>
              <w:spacing w:after="0" w:line="276" w:lineRule="auto"/>
              <w:jc w:val="left"/>
              <w:rPr>
                <w:rFonts w:ascii="Open Sans" w:eastAsia="Times New Roman" w:hAnsi="Open Sans" w:cs="Open Sans"/>
                <w:b/>
                <w:lang w:eastAsia="sl-SI"/>
              </w:rPr>
            </w:pPr>
            <w:r w:rsidRPr="002A63BA">
              <w:rPr>
                <w:rFonts w:ascii="Open Sans" w:eastAsia="Times New Roman" w:hAnsi="Open Sans" w:cs="Open Sans"/>
                <w:b/>
                <w:lang w:eastAsia="sl-SI"/>
              </w:rPr>
              <w:t>Gender</w:t>
            </w:r>
          </w:p>
        </w:tc>
        <w:tc>
          <w:tcPr>
            <w:tcW w:w="0" w:type="auto"/>
            <w:tcMar>
              <w:top w:w="75" w:type="dxa"/>
              <w:left w:w="75" w:type="dxa"/>
              <w:bottom w:w="75" w:type="dxa"/>
              <w:right w:w="75" w:type="dxa"/>
            </w:tcMar>
            <w:hideMark/>
          </w:tcPr>
          <w:p w14:paraId="6F05CCE7"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Male</w:t>
            </w:r>
          </w:p>
        </w:tc>
        <w:tc>
          <w:tcPr>
            <w:tcW w:w="0" w:type="auto"/>
            <w:tcMar>
              <w:top w:w="75" w:type="dxa"/>
              <w:left w:w="75" w:type="dxa"/>
              <w:bottom w:w="75" w:type="dxa"/>
              <w:right w:w="75" w:type="dxa"/>
            </w:tcMar>
            <w:hideMark/>
          </w:tcPr>
          <w:p w14:paraId="4C92A165"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37.4</w:t>
            </w:r>
          </w:p>
        </w:tc>
      </w:tr>
      <w:tr w:rsidR="00AE101A" w:rsidRPr="002A63BA" w14:paraId="14C1A01A" w14:textId="77777777" w:rsidTr="00FF3EE4">
        <w:trPr>
          <w:trHeight w:val="161"/>
        </w:trPr>
        <w:tc>
          <w:tcPr>
            <w:tcW w:w="0" w:type="auto"/>
            <w:vMerge/>
            <w:hideMark/>
          </w:tcPr>
          <w:p w14:paraId="19D0F22B"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7FE71D2E"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Female</w:t>
            </w:r>
          </w:p>
        </w:tc>
        <w:tc>
          <w:tcPr>
            <w:tcW w:w="0" w:type="auto"/>
            <w:tcMar>
              <w:top w:w="75" w:type="dxa"/>
              <w:left w:w="75" w:type="dxa"/>
              <w:bottom w:w="75" w:type="dxa"/>
              <w:right w:w="75" w:type="dxa"/>
            </w:tcMar>
            <w:hideMark/>
          </w:tcPr>
          <w:p w14:paraId="60576B70"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62.6</w:t>
            </w:r>
          </w:p>
        </w:tc>
      </w:tr>
      <w:tr w:rsidR="00AE101A" w:rsidRPr="002A63BA" w14:paraId="1A239D77" w14:textId="77777777" w:rsidTr="00FF3EE4">
        <w:trPr>
          <w:trHeight w:val="161"/>
        </w:trPr>
        <w:tc>
          <w:tcPr>
            <w:tcW w:w="0" w:type="auto"/>
            <w:vMerge w:val="restart"/>
            <w:tcMar>
              <w:top w:w="75" w:type="dxa"/>
              <w:left w:w="75" w:type="dxa"/>
              <w:bottom w:w="75" w:type="dxa"/>
              <w:right w:w="75" w:type="dxa"/>
            </w:tcMar>
            <w:hideMark/>
          </w:tcPr>
          <w:p w14:paraId="6327B4F3"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b/>
                <w:bCs/>
                <w:lang w:eastAsia="sl-SI"/>
              </w:rPr>
              <w:t>Status</w:t>
            </w:r>
          </w:p>
        </w:tc>
        <w:tc>
          <w:tcPr>
            <w:tcW w:w="0" w:type="auto"/>
            <w:tcMar>
              <w:top w:w="75" w:type="dxa"/>
              <w:left w:w="75" w:type="dxa"/>
              <w:bottom w:w="75" w:type="dxa"/>
              <w:right w:w="75" w:type="dxa"/>
            </w:tcMar>
            <w:hideMark/>
          </w:tcPr>
          <w:p w14:paraId="0555AE44"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High school student</w:t>
            </w:r>
          </w:p>
        </w:tc>
        <w:tc>
          <w:tcPr>
            <w:tcW w:w="0" w:type="auto"/>
            <w:tcMar>
              <w:top w:w="75" w:type="dxa"/>
              <w:left w:w="75" w:type="dxa"/>
              <w:bottom w:w="75" w:type="dxa"/>
              <w:right w:w="75" w:type="dxa"/>
            </w:tcMar>
            <w:hideMark/>
          </w:tcPr>
          <w:p w14:paraId="430B0DF7"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0.1</w:t>
            </w:r>
          </w:p>
        </w:tc>
      </w:tr>
      <w:tr w:rsidR="00AE101A" w:rsidRPr="002A63BA" w14:paraId="76045FD6" w14:textId="77777777" w:rsidTr="00FF3EE4">
        <w:trPr>
          <w:trHeight w:val="161"/>
        </w:trPr>
        <w:tc>
          <w:tcPr>
            <w:tcW w:w="0" w:type="auto"/>
            <w:vMerge/>
            <w:tcMar>
              <w:top w:w="75" w:type="dxa"/>
              <w:left w:w="75" w:type="dxa"/>
              <w:bottom w:w="75" w:type="dxa"/>
              <w:right w:w="75" w:type="dxa"/>
            </w:tcMar>
          </w:tcPr>
          <w:p w14:paraId="635CA4D0" w14:textId="77777777" w:rsidR="00AE101A" w:rsidRPr="002A63BA" w:rsidRDefault="00AE101A" w:rsidP="00FF3EE4">
            <w:pPr>
              <w:spacing w:after="0" w:line="276" w:lineRule="auto"/>
              <w:jc w:val="left"/>
              <w:rPr>
                <w:rFonts w:ascii="Open Sans" w:eastAsia="Times New Roman" w:hAnsi="Open Sans" w:cs="Open Sans"/>
                <w:b/>
                <w:bCs/>
                <w:lang w:eastAsia="sl-SI"/>
              </w:rPr>
            </w:pPr>
          </w:p>
        </w:tc>
        <w:tc>
          <w:tcPr>
            <w:tcW w:w="0" w:type="auto"/>
            <w:tcMar>
              <w:top w:w="75" w:type="dxa"/>
              <w:left w:w="75" w:type="dxa"/>
              <w:bottom w:w="75" w:type="dxa"/>
              <w:right w:w="75" w:type="dxa"/>
            </w:tcMar>
          </w:tcPr>
          <w:p w14:paraId="742B9D72"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Student</w:t>
            </w:r>
          </w:p>
        </w:tc>
        <w:tc>
          <w:tcPr>
            <w:tcW w:w="0" w:type="auto"/>
            <w:tcMar>
              <w:top w:w="75" w:type="dxa"/>
              <w:left w:w="75" w:type="dxa"/>
              <w:bottom w:w="75" w:type="dxa"/>
              <w:right w:w="75" w:type="dxa"/>
            </w:tcMar>
          </w:tcPr>
          <w:p w14:paraId="48440F1B"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78.7</w:t>
            </w:r>
          </w:p>
        </w:tc>
      </w:tr>
      <w:tr w:rsidR="00AE101A" w:rsidRPr="002A63BA" w14:paraId="0A290F94" w14:textId="77777777" w:rsidTr="00FF3EE4">
        <w:trPr>
          <w:trHeight w:val="161"/>
        </w:trPr>
        <w:tc>
          <w:tcPr>
            <w:tcW w:w="0" w:type="auto"/>
            <w:vMerge/>
            <w:hideMark/>
          </w:tcPr>
          <w:p w14:paraId="20DD9D90"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70F26ADC"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Employed person</w:t>
            </w:r>
          </w:p>
        </w:tc>
        <w:tc>
          <w:tcPr>
            <w:tcW w:w="0" w:type="auto"/>
            <w:tcMar>
              <w:top w:w="75" w:type="dxa"/>
              <w:left w:w="75" w:type="dxa"/>
              <w:bottom w:w="75" w:type="dxa"/>
              <w:right w:w="75" w:type="dxa"/>
            </w:tcMar>
            <w:hideMark/>
          </w:tcPr>
          <w:p w14:paraId="1EFA7A0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17.5</w:t>
            </w:r>
          </w:p>
        </w:tc>
      </w:tr>
      <w:tr w:rsidR="00AE101A" w:rsidRPr="002A63BA" w14:paraId="6389F076" w14:textId="77777777" w:rsidTr="00FF3EE4">
        <w:trPr>
          <w:trHeight w:val="161"/>
        </w:trPr>
        <w:tc>
          <w:tcPr>
            <w:tcW w:w="0" w:type="auto"/>
            <w:vMerge/>
            <w:hideMark/>
          </w:tcPr>
          <w:p w14:paraId="644765D9"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221B21CE"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Self-employed person</w:t>
            </w:r>
          </w:p>
        </w:tc>
        <w:tc>
          <w:tcPr>
            <w:tcW w:w="0" w:type="auto"/>
            <w:tcMar>
              <w:top w:w="75" w:type="dxa"/>
              <w:left w:w="75" w:type="dxa"/>
              <w:bottom w:w="75" w:type="dxa"/>
              <w:right w:w="75" w:type="dxa"/>
            </w:tcMar>
            <w:hideMark/>
          </w:tcPr>
          <w:p w14:paraId="05ECABD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0.6</w:t>
            </w:r>
          </w:p>
        </w:tc>
      </w:tr>
      <w:tr w:rsidR="00AE101A" w:rsidRPr="002A63BA" w14:paraId="0B2CF56D" w14:textId="77777777" w:rsidTr="00FF3EE4">
        <w:trPr>
          <w:trHeight w:val="161"/>
        </w:trPr>
        <w:tc>
          <w:tcPr>
            <w:tcW w:w="0" w:type="auto"/>
            <w:vMerge/>
          </w:tcPr>
          <w:p w14:paraId="3DDABB08"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0B45E56C"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Unemployed</w:t>
            </w:r>
          </w:p>
        </w:tc>
        <w:tc>
          <w:tcPr>
            <w:tcW w:w="0" w:type="auto"/>
            <w:tcMar>
              <w:top w:w="75" w:type="dxa"/>
              <w:left w:w="75" w:type="dxa"/>
              <w:bottom w:w="75" w:type="dxa"/>
              <w:right w:w="75" w:type="dxa"/>
            </w:tcMar>
          </w:tcPr>
          <w:p w14:paraId="137F069A"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0.6</w:t>
            </w:r>
          </w:p>
        </w:tc>
      </w:tr>
      <w:tr w:rsidR="00AE101A" w:rsidRPr="002A63BA" w14:paraId="5A471FDE" w14:textId="77777777" w:rsidTr="00FF3EE4">
        <w:trPr>
          <w:trHeight w:val="161"/>
        </w:trPr>
        <w:tc>
          <w:tcPr>
            <w:tcW w:w="0" w:type="auto"/>
            <w:vMerge/>
          </w:tcPr>
          <w:p w14:paraId="56D001E8"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04E5FAAD"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Retired</w:t>
            </w:r>
          </w:p>
        </w:tc>
        <w:tc>
          <w:tcPr>
            <w:tcW w:w="0" w:type="auto"/>
            <w:tcMar>
              <w:top w:w="75" w:type="dxa"/>
              <w:left w:w="75" w:type="dxa"/>
              <w:bottom w:w="75" w:type="dxa"/>
              <w:right w:w="75" w:type="dxa"/>
            </w:tcMar>
          </w:tcPr>
          <w:p w14:paraId="05CE66B7"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2.4</w:t>
            </w:r>
          </w:p>
        </w:tc>
      </w:tr>
      <w:tr w:rsidR="00AE101A" w:rsidRPr="002A63BA" w14:paraId="4AF31D37" w14:textId="77777777" w:rsidTr="00FF3EE4">
        <w:trPr>
          <w:trHeight w:val="161"/>
        </w:trPr>
        <w:tc>
          <w:tcPr>
            <w:tcW w:w="0" w:type="auto"/>
            <w:vMerge/>
            <w:hideMark/>
          </w:tcPr>
          <w:p w14:paraId="759E79FC"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5BBABFCB"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Graduate</w:t>
            </w:r>
          </w:p>
        </w:tc>
        <w:tc>
          <w:tcPr>
            <w:tcW w:w="0" w:type="auto"/>
            <w:tcMar>
              <w:top w:w="75" w:type="dxa"/>
              <w:left w:w="75" w:type="dxa"/>
              <w:bottom w:w="75" w:type="dxa"/>
              <w:right w:w="75" w:type="dxa"/>
            </w:tcMar>
            <w:hideMark/>
          </w:tcPr>
          <w:p w14:paraId="265CA358"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10.7</w:t>
            </w:r>
          </w:p>
        </w:tc>
      </w:tr>
      <w:tr w:rsidR="00AE101A" w:rsidRPr="002A63BA" w14:paraId="4CF5A429" w14:textId="77777777" w:rsidTr="00FF3EE4">
        <w:trPr>
          <w:trHeight w:val="161"/>
        </w:trPr>
        <w:tc>
          <w:tcPr>
            <w:tcW w:w="0" w:type="auto"/>
          </w:tcPr>
          <w:p w14:paraId="6BB4B44C" w14:textId="77777777" w:rsidR="00AE101A" w:rsidRPr="002A63BA" w:rsidRDefault="00AE101A" w:rsidP="00FF3EE4">
            <w:pPr>
              <w:spacing w:after="0" w:line="276" w:lineRule="auto"/>
              <w:jc w:val="left"/>
              <w:rPr>
                <w:rFonts w:ascii="Open Sans" w:eastAsia="Times New Roman" w:hAnsi="Open Sans" w:cs="Open Sans"/>
                <w:b/>
                <w:lang w:eastAsia="sl-SI"/>
              </w:rPr>
            </w:pPr>
            <w:r w:rsidRPr="002A63BA">
              <w:rPr>
                <w:rFonts w:ascii="Open Sans" w:eastAsia="Times New Roman" w:hAnsi="Open Sans" w:cs="Open Sans"/>
                <w:b/>
                <w:lang w:eastAsia="sl-SI"/>
              </w:rPr>
              <w:t>Age</w:t>
            </w:r>
          </w:p>
        </w:tc>
        <w:tc>
          <w:tcPr>
            <w:tcW w:w="0" w:type="auto"/>
            <w:tcMar>
              <w:top w:w="75" w:type="dxa"/>
              <w:left w:w="75" w:type="dxa"/>
              <w:bottom w:w="75" w:type="dxa"/>
              <w:right w:w="75" w:type="dxa"/>
            </w:tcMar>
          </w:tcPr>
          <w:p w14:paraId="0E75C857"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Under 20</w:t>
            </w:r>
          </w:p>
        </w:tc>
        <w:tc>
          <w:tcPr>
            <w:tcW w:w="0" w:type="auto"/>
            <w:tcMar>
              <w:top w:w="75" w:type="dxa"/>
              <w:left w:w="75" w:type="dxa"/>
              <w:bottom w:w="75" w:type="dxa"/>
              <w:right w:w="75" w:type="dxa"/>
            </w:tcMar>
          </w:tcPr>
          <w:p w14:paraId="5793677A"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30.5</w:t>
            </w:r>
          </w:p>
        </w:tc>
      </w:tr>
      <w:tr w:rsidR="00AE101A" w:rsidRPr="002A63BA" w14:paraId="451A5274" w14:textId="77777777" w:rsidTr="00FF3EE4">
        <w:trPr>
          <w:trHeight w:val="161"/>
        </w:trPr>
        <w:tc>
          <w:tcPr>
            <w:tcW w:w="0" w:type="auto"/>
          </w:tcPr>
          <w:p w14:paraId="06A7A7DE"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68DFA37F"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21 – 30</w:t>
            </w:r>
          </w:p>
        </w:tc>
        <w:tc>
          <w:tcPr>
            <w:tcW w:w="0" w:type="auto"/>
            <w:tcMar>
              <w:top w:w="75" w:type="dxa"/>
              <w:left w:w="75" w:type="dxa"/>
              <w:bottom w:w="75" w:type="dxa"/>
              <w:right w:w="75" w:type="dxa"/>
            </w:tcMar>
          </w:tcPr>
          <w:p w14:paraId="669033A6"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51.1</w:t>
            </w:r>
          </w:p>
        </w:tc>
      </w:tr>
      <w:tr w:rsidR="00AE101A" w:rsidRPr="002A63BA" w14:paraId="453BB725" w14:textId="77777777" w:rsidTr="00FF3EE4">
        <w:trPr>
          <w:trHeight w:val="161"/>
        </w:trPr>
        <w:tc>
          <w:tcPr>
            <w:tcW w:w="0" w:type="auto"/>
          </w:tcPr>
          <w:p w14:paraId="1DD9FC3E"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4EAE90AB"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31 - 40</w:t>
            </w:r>
          </w:p>
        </w:tc>
        <w:tc>
          <w:tcPr>
            <w:tcW w:w="0" w:type="auto"/>
            <w:tcMar>
              <w:top w:w="75" w:type="dxa"/>
              <w:left w:w="75" w:type="dxa"/>
              <w:bottom w:w="75" w:type="dxa"/>
              <w:right w:w="75" w:type="dxa"/>
            </w:tcMar>
          </w:tcPr>
          <w:p w14:paraId="19F0C82A"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6.9</w:t>
            </w:r>
          </w:p>
        </w:tc>
      </w:tr>
      <w:tr w:rsidR="00AE101A" w:rsidRPr="002A63BA" w14:paraId="27354FFE" w14:textId="77777777" w:rsidTr="00FF3EE4">
        <w:trPr>
          <w:trHeight w:val="161"/>
        </w:trPr>
        <w:tc>
          <w:tcPr>
            <w:tcW w:w="0" w:type="auto"/>
          </w:tcPr>
          <w:p w14:paraId="1EEDCFA6"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2443D88A"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41 – 50</w:t>
            </w:r>
          </w:p>
        </w:tc>
        <w:tc>
          <w:tcPr>
            <w:tcW w:w="0" w:type="auto"/>
            <w:tcMar>
              <w:top w:w="75" w:type="dxa"/>
              <w:left w:w="75" w:type="dxa"/>
              <w:bottom w:w="75" w:type="dxa"/>
              <w:right w:w="75" w:type="dxa"/>
            </w:tcMar>
          </w:tcPr>
          <w:p w14:paraId="59D6F9A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5.9</w:t>
            </w:r>
          </w:p>
        </w:tc>
      </w:tr>
      <w:tr w:rsidR="00AE101A" w:rsidRPr="002A63BA" w14:paraId="6011D662" w14:textId="77777777" w:rsidTr="00FF3EE4">
        <w:trPr>
          <w:trHeight w:val="161"/>
        </w:trPr>
        <w:tc>
          <w:tcPr>
            <w:tcW w:w="0" w:type="auto"/>
          </w:tcPr>
          <w:p w14:paraId="434A9D90"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208B726F"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51 – 60</w:t>
            </w:r>
          </w:p>
        </w:tc>
        <w:tc>
          <w:tcPr>
            <w:tcW w:w="0" w:type="auto"/>
            <w:tcMar>
              <w:top w:w="75" w:type="dxa"/>
              <w:left w:w="75" w:type="dxa"/>
              <w:bottom w:w="75" w:type="dxa"/>
              <w:right w:w="75" w:type="dxa"/>
            </w:tcMar>
          </w:tcPr>
          <w:p w14:paraId="20B1CCF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2.7</w:t>
            </w:r>
          </w:p>
        </w:tc>
      </w:tr>
      <w:tr w:rsidR="00AE101A" w:rsidRPr="002A63BA" w14:paraId="5B691152" w14:textId="77777777" w:rsidTr="00FF3EE4">
        <w:trPr>
          <w:trHeight w:val="161"/>
        </w:trPr>
        <w:tc>
          <w:tcPr>
            <w:tcW w:w="0" w:type="auto"/>
          </w:tcPr>
          <w:p w14:paraId="275A4A97"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4DEC464A"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Above 60</w:t>
            </w:r>
          </w:p>
        </w:tc>
        <w:tc>
          <w:tcPr>
            <w:tcW w:w="0" w:type="auto"/>
            <w:tcMar>
              <w:top w:w="75" w:type="dxa"/>
              <w:left w:w="75" w:type="dxa"/>
              <w:bottom w:w="75" w:type="dxa"/>
              <w:right w:w="75" w:type="dxa"/>
            </w:tcMar>
          </w:tcPr>
          <w:p w14:paraId="7C517100"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2.8</w:t>
            </w:r>
          </w:p>
        </w:tc>
      </w:tr>
      <w:tr w:rsidR="00AE101A" w:rsidRPr="002A63BA" w14:paraId="190EE7DB" w14:textId="77777777" w:rsidTr="00FF3EE4">
        <w:trPr>
          <w:trHeight w:val="161"/>
        </w:trPr>
        <w:tc>
          <w:tcPr>
            <w:tcW w:w="0" w:type="auto"/>
          </w:tcPr>
          <w:p w14:paraId="68CA6E99" w14:textId="77777777" w:rsidR="00AE101A" w:rsidRPr="002A63BA" w:rsidRDefault="00AE101A" w:rsidP="00FF3EE4">
            <w:pPr>
              <w:spacing w:after="0" w:line="276" w:lineRule="auto"/>
              <w:jc w:val="left"/>
              <w:rPr>
                <w:rFonts w:ascii="Open Sans" w:eastAsia="Times New Roman" w:hAnsi="Open Sans" w:cs="Open Sans"/>
                <w:b/>
                <w:lang w:eastAsia="sl-SI"/>
              </w:rPr>
            </w:pPr>
            <w:r w:rsidRPr="002A63BA">
              <w:rPr>
                <w:rFonts w:ascii="Open Sans" w:eastAsia="Times New Roman" w:hAnsi="Open Sans" w:cs="Open Sans"/>
                <w:b/>
                <w:lang w:eastAsia="sl-SI"/>
              </w:rPr>
              <w:t>Highest level of formal education</w:t>
            </w:r>
          </w:p>
        </w:tc>
        <w:tc>
          <w:tcPr>
            <w:tcW w:w="0" w:type="auto"/>
            <w:tcMar>
              <w:top w:w="75" w:type="dxa"/>
              <w:left w:w="75" w:type="dxa"/>
              <w:bottom w:w="75" w:type="dxa"/>
              <w:right w:w="75" w:type="dxa"/>
            </w:tcMar>
          </w:tcPr>
          <w:p w14:paraId="3901CE6E"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Primary school</w:t>
            </w:r>
          </w:p>
        </w:tc>
        <w:tc>
          <w:tcPr>
            <w:tcW w:w="0" w:type="auto"/>
            <w:tcMar>
              <w:top w:w="75" w:type="dxa"/>
              <w:left w:w="75" w:type="dxa"/>
              <w:bottom w:w="75" w:type="dxa"/>
              <w:right w:w="75" w:type="dxa"/>
            </w:tcMar>
          </w:tcPr>
          <w:p w14:paraId="15592C8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0.4</w:t>
            </w:r>
          </w:p>
        </w:tc>
      </w:tr>
      <w:tr w:rsidR="00AE101A" w:rsidRPr="002A63BA" w14:paraId="436E6A98" w14:textId="77777777" w:rsidTr="00FF3EE4">
        <w:trPr>
          <w:trHeight w:val="161"/>
        </w:trPr>
        <w:tc>
          <w:tcPr>
            <w:tcW w:w="0" w:type="auto"/>
          </w:tcPr>
          <w:p w14:paraId="6BE16CBC"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421560A2"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High school (4 years)</w:t>
            </w:r>
          </w:p>
        </w:tc>
        <w:tc>
          <w:tcPr>
            <w:tcW w:w="0" w:type="auto"/>
            <w:tcMar>
              <w:top w:w="75" w:type="dxa"/>
              <w:left w:w="75" w:type="dxa"/>
              <w:bottom w:w="75" w:type="dxa"/>
              <w:right w:w="75" w:type="dxa"/>
            </w:tcMar>
          </w:tcPr>
          <w:p w14:paraId="4928F5E7"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55.8</w:t>
            </w:r>
          </w:p>
        </w:tc>
      </w:tr>
      <w:tr w:rsidR="00AE101A" w:rsidRPr="002A63BA" w14:paraId="649BF257" w14:textId="77777777" w:rsidTr="00FF3EE4">
        <w:trPr>
          <w:trHeight w:val="161"/>
        </w:trPr>
        <w:tc>
          <w:tcPr>
            <w:tcW w:w="0" w:type="auto"/>
          </w:tcPr>
          <w:p w14:paraId="7DFC3496"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4F7A69DC"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Undergraduate programme/university (3 years)</w:t>
            </w:r>
          </w:p>
        </w:tc>
        <w:tc>
          <w:tcPr>
            <w:tcW w:w="0" w:type="auto"/>
            <w:tcMar>
              <w:top w:w="75" w:type="dxa"/>
              <w:left w:w="75" w:type="dxa"/>
              <w:bottom w:w="75" w:type="dxa"/>
              <w:right w:w="75" w:type="dxa"/>
            </w:tcMar>
          </w:tcPr>
          <w:p w14:paraId="263BF111"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24.6</w:t>
            </w:r>
          </w:p>
        </w:tc>
      </w:tr>
      <w:tr w:rsidR="00AE101A" w:rsidRPr="002A63BA" w14:paraId="0944BEB9" w14:textId="77777777" w:rsidTr="00FF3EE4">
        <w:trPr>
          <w:trHeight w:val="161"/>
        </w:trPr>
        <w:tc>
          <w:tcPr>
            <w:tcW w:w="0" w:type="auto"/>
          </w:tcPr>
          <w:p w14:paraId="4DACD34A"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7A3295FF"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Graduate programme (2 years)</w:t>
            </w:r>
          </w:p>
        </w:tc>
        <w:tc>
          <w:tcPr>
            <w:tcW w:w="0" w:type="auto"/>
            <w:tcMar>
              <w:top w:w="75" w:type="dxa"/>
              <w:left w:w="75" w:type="dxa"/>
              <w:bottom w:w="75" w:type="dxa"/>
              <w:right w:w="75" w:type="dxa"/>
            </w:tcMar>
          </w:tcPr>
          <w:p w14:paraId="01B148DC"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10.5</w:t>
            </w:r>
          </w:p>
        </w:tc>
      </w:tr>
      <w:tr w:rsidR="00AE101A" w:rsidRPr="002A63BA" w14:paraId="1D934846" w14:textId="77777777" w:rsidTr="00FF3EE4">
        <w:trPr>
          <w:trHeight w:val="161"/>
        </w:trPr>
        <w:tc>
          <w:tcPr>
            <w:tcW w:w="0" w:type="auto"/>
          </w:tcPr>
          <w:p w14:paraId="2D55656D"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4020C321"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Doctoral programme (PhD)</w:t>
            </w:r>
          </w:p>
        </w:tc>
        <w:tc>
          <w:tcPr>
            <w:tcW w:w="0" w:type="auto"/>
            <w:tcMar>
              <w:top w:w="75" w:type="dxa"/>
              <w:left w:w="75" w:type="dxa"/>
              <w:bottom w:w="75" w:type="dxa"/>
              <w:right w:w="75" w:type="dxa"/>
            </w:tcMar>
          </w:tcPr>
          <w:p w14:paraId="43EAB0F4"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8.7</w:t>
            </w:r>
          </w:p>
        </w:tc>
      </w:tr>
      <w:tr w:rsidR="00AE101A" w:rsidRPr="002A63BA" w14:paraId="593C3B73" w14:textId="77777777" w:rsidTr="00FF3EE4">
        <w:trPr>
          <w:trHeight w:val="161"/>
        </w:trPr>
        <w:tc>
          <w:tcPr>
            <w:tcW w:w="0" w:type="auto"/>
            <w:vMerge w:val="restart"/>
            <w:tcMar>
              <w:top w:w="75" w:type="dxa"/>
              <w:left w:w="75" w:type="dxa"/>
              <w:bottom w:w="75" w:type="dxa"/>
              <w:right w:w="75" w:type="dxa"/>
            </w:tcMar>
            <w:hideMark/>
          </w:tcPr>
          <w:p w14:paraId="364871C8"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b/>
                <w:bCs/>
                <w:lang w:eastAsia="sl-SI"/>
              </w:rPr>
              <w:t>Type of settlement</w:t>
            </w:r>
          </w:p>
        </w:tc>
        <w:tc>
          <w:tcPr>
            <w:tcW w:w="0" w:type="auto"/>
            <w:tcMar>
              <w:top w:w="75" w:type="dxa"/>
              <w:left w:w="75" w:type="dxa"/>
              <w:bottom w:w="75" w:type="dxa"/>
              <w:right w:w="75" w:type="dxa"/>
            </w:tcMar>
            <w:hideMark/>
          </w:tcPr>
          <w:p w14:paraId="1441E305"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Urban settlement</w:t>
            </w:r>
          </w:p>
        </w:tc>
        <w:tc>
          <w:tcPr>
            <w:tcW w:w="0" w:type="auto"/>
            <w:tcMar>
              <w:top w:w="75" w:type="dxa"/>
              <w:left w:w="75" w:type="dxa"/>
              <w:bottom w:w="75" w:type="dxa"/>
              <w:right w:w="75" w:type="dxa"/>
            </w:tcMar>
            <w:hideMark/>
          </w:tcPr>
          <w:p w14:paraId="3EAEF6BB"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62.0</w:t>
            </w:r>
          </w:p>
        </w:tc>
      </w:tr>
      <w:tr w:rsidR="00AE101A" w:rsidRPr="002A63BA" w14:paraId="15A912BA" w14:textId="77777777" w:rsidTr="00FF3EE4">
        <w:trPr>
          <w:trHeight w:val="161"/>
        </w:trPr>
        <w:tc>
          <w:tcPr>
            <w:tcW w:w="0" w:type="auto"/>
            <w:vMerge/>
            <w:hideMark/>
          </w:tcPr>
          <w:p w14:paraId="76C18A9C"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79EF68B9"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Suburban settlement</w:t>
            </w:r>
          </w:p>
        </w:tc>
        <w:tc>
          <w:tcPr>
            <w:tcW w:w="0" w:type="auto"/>
            <w:tcMar>
              <w:top w:w="75" w:type="dxa"/>
              <w:left w:w="75" w:type="dxa"/>
              <w:bottom w:w="75" w:type="dxa"/>
              <w:right w:w="75" w:type="dxa"/>
            </w:tcMar>
            <w:hideMark/>
          </w:tcPr>
          <w:p w14:paraId="70916A54"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20.0</w:t>
            </w:r>
          </w:p>
        </w:tc>
      </w:tr>
      <w:tr w:rsidR="00AE101A" w:rsidRPr="002A63BA" w14:paraId="7C5C8799" w14:textId="77777777" w:rsidTr="00FF3EE4">
        <w:trPr>
          <w:trHeight w:val="161"/>
        </w:trPr>
        <w:tc>
          <w:tcPr>
            <w:tcW w:w="0" w:type="auto"/>
            <w:vMerge/>
            <w:hideMark/>
          </w:tcPr>
          <w:p w14:paraId="124026F1"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422295F6"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Small town or village</w:t>
            </w:r>
          </w:p>
        </w:tc>
        <w:tc>
          <w:tcPr>
            <w:tcW w:w="0" w:type="auto"/>
            <w:tcMar>
              <w:top w:w="75" w:type="dxa"/>
              <w:left w:w="75" w:type="dxa"/>
              <w:bottom w:w="75" w:type="dxa"/>
              <w:right w:w="75" w:type="dxa"/>
            </w:tcMar>
            <w:hideMark/>
          </w:tcPr>
          <w:p w14:paraId="43DFD0DD"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13.5</w:t>
            </w:r>
          </w:p>
        </w:tc>
      </w:tr>
      <w:tr w:rsidR="00AE101A" w:rsidRPr="002A63BA" w14:paraId="3684D748" w14:textId="77777777" w:rsidTr="00FF3EE4">
        <w:trPr>
          <w:trHeight w:val="161"/>
        </w:trPr>
        <w:tc>
          <w:tcPr>
            <w:tcW w:w="0" w:type="auto"/>
            <w:vMerge/>
            <w:hideMark/>
          </w:tcPr>
          <w:p w14:paraId="04CAE635"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hideMark/>
          </w:tcPr>
          <w:p w14:paraId="76EE28D6"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Scattered or secluded houses</w:t>
            </w:r>
          </w:p>
        </w:tc>
        <w:tc>
          <w:tcPr>
            <w:tcW w:w="0" w:type="auto"/>
            <w:tcMar>
              <w:top w:w="75" w:type="dxa"/>
              <w:left w:w="75" w:type="dxa"/>
              <w:bottom w:w="75" w:type="dxa"/>
              <w:right w:w="75" w:type="dxa"/>
            </w:tcMar>
            <w:hideMark/>
          </w:tcPr>
          <w:p w14:paraId="29A192AE"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4.5</w:t>
            </w:r>
          </w:p>
        </w:tc>
      </w:tr>
      <w:tr w:rsidR="00AE101A" w:rsidRPr="002A63BA" w14:paraId="480386DB" w14:textId="77777777" w:rsidTr="00FF3EE4">
        <w:trPr>
          <w:trHeight w:val="161"/>
        </w:trPr>
        <w:tc>
          <w:tcPr>
            <w:tcW w:w="0" w:type="auto"/>
            <w:vMerge w:val="restart"/>
          </w:tcPr>
          <w:p w14:paraId="2143B63B"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b/>
                <w:bCs/>
                <w:lang w:eastAsia="sl-SI"/>
              </w:rPr>
              <w:t>Country of residence</w:t>
            </w:r>
          </w:p>
        </w:tc>
        <w:tc>
          <w:tcPr>
            <w:tcW w:w="0" w:type="auto"/>
            <w:tcMar>
              <w:top w:w="75" w:type="dxa"/>
              <w:left w:w="75" w:type="dxa"/>
              <w:bottom w:w="75" w:type="dxa"/>
              <w:right w:w="75" w:type="dxa"/>
            </w:tcMar>
          </w:tcPr>
          <w:p w14:paraId="3DB2BD71"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Slovenia</w:t>
            </w:r>
          </w:p>
        </w:tc>
        <w:tc>
          <w:tcPr>
            <w:tcW w:w="0" w:type="auto"/>
            <w:tcMar>
              <w:top w:w="75" w:type="dxa"/>
              <w:left w:w="75" w:type="dxa"/>
              <w:bottom w:w="75" w:type="dxa"/>
              <w:right w:w="75" w:type="dxa"/>
            </w:tcMar>
          </w:tcPr>
          <w:p w14:paraId="0D1A60E2"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45.7</w:t>
            </w:r>
          </w:p>
        </w:tc>
      </w:tr>
      <w:tr w:rsidR="00AE101A" w:rsidRPr="002A63BA" w14:paraId="04C58153" w14:textId="77777777" w:rsidTr="00FF3EE4">
        <w:trPr>
          <w:trHeight w:val="161"/>
        </w:trPr>
        <w:tc>
          <w:tcPr>
            <w:tcW w:w="0" w:type="auto"/>
            <w:vMerge/>
          </w:tcPr>
          <w:p w14:paraId="4A5967B5" w14:textId="77777777" w:rsidR="00AE101A" w:rsidRPr="002A63BA" w:rsidRDefault="00AE101A" w:rsidP="00FF3EE4">
            <w:pPr>
              <w:spacing w:after="0" w:line="276" w:lineRule="auto"/>
              <w:jc w:val="left"/>
              <w:rPr>
                <w:rFonts w:ascii="Open Sans" w:eastAsia="Times New Roman" w:hAnsi="Open Sans" w:cs="Open Sans"/>
                <w:lang w:eastAsia="sl-SI"/>
              </w:rPr>
            </w:pPr>
          </w:p>
        </w:tc>
        <w:tc>
          <w:tcPr>
            <w:tcW w:w="0" w:type="auto"/>
            <w:tcMar>
              <w:top w:w="75" w:type="dxa"/>
              <w:left w:w="75" w:type="dxa"/>
              <w:bottom w:w="75" w:type="dxa"/>
              <w:right w:w="75" w:type="dxa"/>
            </w:tcMar>
          </w:tcPr>
          <w:p w14:paraId="62EC7706" w14:textId="77777777" w:rsidR="00AE101A" w:rsidRPr="002A63BA" w:rsidRDefault="00AE101A" w:rsidP="00FF3EE4">
            <w:pPr>
              <w:spacing w:after="0" w:line="276" w:lineRule="auto"/>
              <w:jc w:val="left"/>
              <w:rPr>
                <w:rFonts w:ascii="Open Sans" w:eastAsia="Times New Roman" w:hAnsi="Open Sans" w:cs="Open Sans"/>
                <w:lang w:eastAsia="sl-SI"/>
              </w:rPr>
            </w:pPr>
            <w:r w:rsidRPr="002A63BA">
              <w:rPr>
                <w:rFonts w:ascii="Open Sans" w:eastAsia="Times New Roman" w:hAnsi="Open Sans" w:cs="Open Sans"/>
                <w:lang w:eastAsia="sl-SI"/>
              </w:rPr>
              <w:t>Croatia</w:t>
            </w:r>
          </w:p>
        </w:tc>
        <w:tc>
          <w:tcPr>
            <w:tcW w:w="0" w:type="auto"/>
            <w:tcMar>
              <w:top w:w="75" w:type="dxa"/>
              <w:left w:w="75" w:type="dxa"/>
              <w:bottom w:w="75" w:type="dxa"/>
              <w:right w:w="75" w:type="dxa"/>
            </w:tcMar>
          </w:tcPr>
          <w:p w14:paraId="249F0D14" w14:textId="77777777" w:rsidR="00AE101A" w:rsidRPr="002A63BA" w:rsidRDefault="00AE101A" w:rsidP="00FF3EE4">
            <w:pPr>
              <w:spacing w:after="0" w:line="276" w:lineRule="auto"/>
              <w:jc w:val="center"/>
              <w:rPr>
                <w:rFonts w:ascii="Open Sans" w:eastAsia="Times New Roman" w:hAnsi="Open Sans" w:cs="Open Sans"/>
                <w:lang w:eastAsia="sl-SI"/>
              </w:rPr>
            </w:pPr>
            <w:r w:rsidRPr="002A63BA">
              <w:rPr>
                <w:rFonts w:ascii="Open Sans" w:eastAsia="Times New Roman" w:hAnsi="Open Sans" w:cs="Open Sans"/>
                <w:lang w:eastAsia="sl-SI"/>
              </w:rPr>
              <w:t>54.3</w:t>
            </w:r>
          </w:p>
        </w:tc>
      </w:tr>
    </w:tbl>
    <w:p w14:paraId="27FF0474" w14:textId="77777777" w:rsidR="00AE101A" w:rsidRPr="002A63BA" w:rsidRDefault="00AE101A" w:rsidP="00FF3EE4">
      <w:pPr>
        <w:spacing w:before="240" w:line="276" w:lineRule="auto"/>
        <w:rPr>
          <w:rFonts w:ascii="Open Sans" w:hAnsi="Open Sans" w:cs="Open Sans"/>
        </w:rPr>
      </w:pPr>
      <w:r w:rsidRPr="002A63BA">
        <w:rPr>
          <w:rFonts w:ascii="Open Sans" w:hAnsi="Open Sans" w:cs="Open Sans"/>
        </w:rPr>
        <w:t xml:space="preserve">First, a descriptive analysis of arithmetic means was conducted on the whole sample, followed up by a comparison of means between Slovene </w:t>
      </w:r>
      <w:r w:rsidRPr="002A63BA">
        <w:rPr>
          <w:rFonts w:ascii="Open Sans" w:hAnsi="Open Sans" w:cs="Open Sans"/>
        </w:rPr>
        <w:lastRenderedPageBreak/>
        <w:t xml:space="preserve">and Croatian residents. The topics of analysis were related to their perception of technology and the smart city concept in general, as well as to more specific smart city related issues, such as security and privacy issues, environmental issues, smart mobility, smart healthcare, and the citizen participation in the development of smart city services. Responses were mostly measured on a 5-point scale, where 1 means the respondent strongly disagrees with the statement mentioned and 5 means the respondent strongly agrees with it. </w:t>
      </w:r>
    </w:p>
    <w:p w14:paraId="7D5A8B90" w14:textId="77777777" w:rsidR="00AE101A" w:rsidRPr="002A63BA" w:rsidRDefault="00AE101A" w:rsidP="00FF3EE4">
      <w:pPr>
        <w:spacing w:line="276" w:lineRule="auto"/>
        <w:rPr>
          <w:rFonts w:ascii="Open Sans" w:hAnsi="Open Sans" w:cs="Open Sans"/>
        </w:rPr>
      </w:pPr>
      <w:r w:rsidRPr="002A63BA">
        <w:rPr>
          <w:rFonts w:ascii="Open Sans" w:hAnsi="Open Sans" w:cs="Open Sans"/>
        </w:rPr>
        <w:t>In the next paragraphs, we are going to present the results of the survey, divided into the following sections: technology interest, smart city, security and privacy in smart cities, smart mobility, environmental issues with smart cities (together with the ‘influence on environmental issues on individual behaviour’ and ‘privacy issues within air pollution sensors and energy consumption sensors’), waste pollution, noise pollution, and light pollution.</w:t>
      </w:r>
    </w:p>
    <w:p w14:paraId="15A900B6" w14:textId="77777777" w:rsidR="00AE101A" w:rsidRPr="002A63BA" w:rsidRDefault="00AE101A" w:rsidP="00FF3EE4">
      <w:pPr>
        <w:pStyle w:val="N1"/>
      </w:pPr>
      <w:r w:rsidRPr="002A63BA">
        <w:t>TECHNOLOGY INTEREST</w:t>
      </w:r>
    </w:p>
    <w:p w14:paraId="0F8D0117"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 xml:space="preserve">Regarding technology interest, on average all respondents agree that new technologies are contributing to a higher standard of living. They are neutral about their use of new technologies, meaning they are not too eager to experiment with them as soon as possible on one hand, while on the other they are also not hesitant to use them or wait for them to become accepted by the general public. Slovenes are waiting less than Croats for technology to become generally accepted, whereas they are similar in other aspects of technology interest. </w:t>
      </w:r>
    </w:p>
    <w:tbl>
      <w:tblPr>
        <w:tblStyle w:val="Reetkatablice"/>
        <w:tblW w:w="0" w:type="auto"/>
        <w:tblLook w:val="04A0" w:firstRow="1" w:lastRow="0" w:firstColumn="1" w:lastColumn="0" w:noHBand="0" w:noVBand="1"/>
      </w:tblPr>
      <w:tblGrid>
        <w:gridCol w:w="4350"/>
        <w:gridCol w:w="1141"/>
        <w:gridCol w:w="1021"/>
        <w:gridCol w:w="916"/>
      </w:tblGrid>
      <w:tr w:rsidR="00AE101A" w:rsidRPr="002A63BA" w14:paraId="4F6CC95E" w14:textId="77777777" w:rsidTr="007C3C4B">
        <w:tc>
          <w:tcPr>
            <w:tcW w:w="6212" w:type="dxa"/>
          </w:tcPr>
          <w:p w14:paraId="2F6F80F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bCs/>
              </w:rPr>
              <w:t>Technology interest</w:t>
            </w:r>
          </w:p>
        </w:tc>
        <w:tc>
          <w:tcPr>
            <w:tcW w:w="1007" w:type="dxa"/>
          </w:tcPr>
          <w:p w14:paraId="63B31A48"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1007" w:type="dxa"/>
          </w:tcPr>
          <w:p w14:paraId="69042FD8"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1008" w:type="dxa"/>
          </w:tcPr>
          <w:p w14:paraId="60AC5CB1"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38AFB6CC" w14:textId="77777777" w:rsidTr="007C3C4B">
        <w:tc>
          <w:tcPr>
            <w:tcW w:w="6212" w:type="dxa"/>
          </w:tcPr>
          <w:p w14:paraId="1B75F78A"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New technologies contribute to a higher standard of living</w:t>
            </w:r>
          </w:p>
        </w:tc>
        <w:tc>
          <w:tcPr>
            <w:tcW w:w="1007" w:type="dxa"/>
          </w:tcPr>
          <w:p w14:paraId="17A61B30"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4.3</w:t>
            </w:r>
          </w:p>
        </w:tc>
        <w:tc>
          <w:tcPr>
            <w:tcW w:w="1007" w:type="dxa"/>
          </w:tcPr>
          <w:p w14:paraId="5A6DC0CD"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4.1</w:t>
            </w:r>
          </w:p>
        </w:tc>
        <w:tc>
          <w:tcPr>
            <w:tcW w:w="1008" w:type="dxa"/>
          </w:tcPr>
          <w:p w14:paraId="3F8A5370"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4.2</w:t>
            </w:r>
          </w:p>
        </w:tc>
      </w:tr>
      <w:tr w:rsidR="00AE101A" w:rsidRPr="002A63BA" w14:paraId="7D031430" w14:textId="77777777" w:rsidTr="007C3C4B">
        <w:tc>
          <w:tcPr>
            <w:tcW w:w="6212" w:type="dxa"/>
          </w:tcPr>
          <w:p w14:paraId="4804720C"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I am among the first to use new technologies and experiment with them soon after they become available</w:t>
            </w:r>
          </w:p>
        </w:tc>
        <w:tc>
          <w:tcPr>
            <w:tcW w:w="1007" w:type="dxa"/>
          </w:tcPr>
          <w:p w14:paraId="6D980A34"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2.9</w:t>
            </w:r>
          </w:p>
        </w:tc>
        <w:tc>
          <w:tcPr>
            <w:tcW w:w="1007" w:type="dxa"/>
          </w:tcPr>
          <w:p w14:paraId="7CCC508B"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3.1</w:t>
            </w:r>
          </w:p>
        </w:tc>
        <w:tc>
          <w:tcPr>
            <w:tcW w:w="1008" w:type="dxa"/>
          </w:tcPr>
          <w:p w14:paraId="453AD4D0"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3.0</w:t>
            </w:r>
          </w:p>
        </w:tc>
      </w:tr>
      <w:tr w:rsidR="00AE101A" w:rsidRPr="002A63BA" w14:paraId="0D79FA30" w14:textId="77777777" w:rsidTr="007C3C4B">
        <w:tc>
          <w:tcPr>
            <w:tcW w:w="6212" w:type="dxa"/>
          </w:tcPr>
          <w:p w14:paraId="7A2A7377"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I am hesitant to use new technologies</w:t>
            </w:r>
          </w:p>
        </w:tc>
        <w:tc>
          <w:tcPr>
            <w:tcW w:w="1007" w:type="dxa"/>
          </w:tcPr>
          <w:p w14:paraId="499C8A26"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2.5</w:t>
            </w:r>
          </w:p>
        </w:tc>
        <w:tc>
          <w:tcPr>
            <w:tcW w:w="1007" w:type="dxa"/>
          </w:tcPr>
          <w:p w14:paraId="156CBFA1"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2.4</w:t>
            </w:r>
          </w:p>
        </w:tc>
        <w:tc>
          <w:tcPr>
            <w:tcW w:w="1008" w:type="dxa"/>
          </w:tcPr>
          <w:p w14:paraId="08004594"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2.5</w:t>
            </w:r>
          </w:p>
        </w:tc>
      </w:tr>
      <w:tr w:rsidR="00AE101A" w:rsidRPr="002A63BA" w14:paraId="43A2747C" w14:textId="77777777" w:rsidTr="007C3C4B">
        <w:tc>
          <w:tcPr>
            <w:tcW w:w="6212" w:type="dxa"/>
          </w:tcPr>
          <w:p w14:paraId="1B7FB87D"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lastRenderedPageBreak/>
              <w:t>I am waiting until new technology use becomes unavoidable and is accepted by the general public</w:t>
            </w:r>
          </w:p>
        </w:tc>
        <w:tc>
          <w:tcPr>
            <w:tcW w:w="1007" w:type="dxa"/>
          </w:tcPr>
          <w:p w14:paraId="0DD55DF8"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2.6</w:t>
            </w:r>
          </w:p>
        </w:tc>
        <w:tc>
          <w:tcPr>
            <w:tcW w:w="1007" w:type="dxa"/>
          </w:tcPr>
          <w:p w14:paraId="4D829C4E"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2.9</w:t>
            </w:r>
          </w:p>
        </w:tc>
        <w:tc>
          <w:tcPr>
            <w:tcW w:w="1008" w:type="dxa"/>
          </w:tcPr>
          <w:p w14:paraId="26B3326E"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2.8</w:t>
            </w:r>
          </w:p>
        </w:tc>
      </w:tr>
    </w:tbl>
    <w:p w14:paraId="4A5BA0AC" w14:textId="77777777" w:rsidR="00AE101A" w:rsidRPr="002A63BA" w:rsidRDefault="00AE101A" w:rsidP="00FF3EE4">
      <w:pPr>
        <w:spacing w:line="276" w:lineRule="auto"/>
        <w:rPr>
          <w:rFonts w:ascii="Open Sans" w:eastAsiaTheme="minorEastAsia" w:hAnsi="Open Sans" w:cs="Open Sans"/>
        </w:rPr>
      </w:pPr>
    </w:p>
    <w:p w14:paraId="382FC857"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Moreover, all respondents on average agree that the modern world is too dependent on smart technologies (Croats a bit more than Slovenes), but at the same time want their job to be related to them and believe smart technologies could be applied to perform very complex tasks, such as planning, organizing, designing, optimizing resources, or managing things and people (Croats a bit more than Slovenes). They are neutral regarding their trust in smart technology capabilities for everyday decision-making processes.</w:t>
      </w:r>
    </w:p>
    <w:tbl>
      <w:tblPr>
        <w:tblStyle w:val="Reetkatablice"/>
        <w:tblW w:w="0" w:type="auto"/>
        <w:tblLook w:val="04A0" w:firstRow="1" w:lastRow="0" w:firstColumn="1" w:lastColumn="0" w:noHBand="0" w:noVBand="1"/>
      </w:tblPr>
      <w:tblGrid>
        <w:gridCol w:w="4350"/>
        <w:gridCol w:w="1141"/>
        <w:gridCol w:w="1021"/>
        <w:gridCol w:w="916"/>
      </w:tblGrid>
      <w:tr w:rsidR="00AE101A" w:rsidRPr="002A63BA" w14:paraId="00F5ECD6" w14:textId="77777777" w:rsidTr="007C3C4B">
        <w:tc>
          <w:tcPr>
            <w:tcW w:w="6212" w:type="dxa"/>
          </w:tcPr>
          <w:p w14:paraId="1C2593F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bCs/>
              </w:rPr>
              <w:t>Technology interest</w:t>
            </w:r>
          </w:p>
        </w:tc>
        <w:tc>
          <w:tcPr>
            <w:tcW w:w="1007" w:type="dxa"/>
          </w:tcPr>
          <w:p w14:paraId="68AB1757"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1007" w:type="dxa"/>
          </w:tcPr>
          <w:p w14:paraId="06AB5AEC"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1008" w:type="dxa"/>
          </w:tcPr>
          <w:p w14:paraId="76CBBBF0"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0182B412" w14:textId="77777777" w:rsidTr="007C3C4B">
        <w:tc>
          <w:tcPr>
            <w:tcW w:w="6212" w:type="dxa"/>
          </w:tcPr>
          <w:p w14:paraId="758B90F3"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Modern world is too dependent on smart technologies</w:t>
            </w:r>
          </w:p>
        </w:tc>
        <w:tc>
          <w:tcPr>
            <w:tcW w:w="1007" w:type="dxa"/>
          </w:tcPr>
          <w:p w14:paraId="0644B7DD"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3.5</w:t>
            </w:r>
          </w:p>
        </w:tc>
        <w:tc>
          <w:tcPr>
            <w:tcW w:w="1007" w:type="dxa"/>
          </w:tcPr>
          <w:p w14:paraId="154E426C"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3.9</w:t>
            </w:r>
          </w:p>
        </w:tc>
        <w:tc>
          <w:tcPr>
            <w:tcW w:w="1008" w:type="dxa"/>
          </w:tcPr>
          <w:p w14:paraId="7656F85B"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3.7</w:t>
            </w:r>
          </w:p>
        </w:tc>
      </w:tr>
      <w:tr w:rsidR="00AE101A" w:rsidRPr="002A63BA" w14:paraId="0EF2C49A" w14:textId="77777777" w:rsidTr="007C3C4B">
        <w:tc>
          <w:tcPr>
            <w:tcW w:w="6212" w:type="dxa"/>
          </w:tcPr>
          <w:p w14:paraId="0E42D781"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fully trust smart technologies in everyday decision-making processes</w:t>
            </w:r>
          </w:p>
        </w:tc>
        <w:tc>
          <w:tcPr>
            <w:tcW w:w="1007" w:type="dxa"/>
          </w:tcPr>
          <w:p w14:paraId="355235D9"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2.9</w:t>
            </w:r>
          </w:p>
        </w:tc>
        <w:tc>
          <w:tcPr>
            <w:tcW w:w="1007" w:type="dxa"/>
          </w:tcPr>
          <w:p w14:paraId="2DE89DD6"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2.9</w:t>
            </w:r>
          </w:p>
        </w:tc>
        <w:tc>
          <w:tcPr>
            <w:tcW w:w="1008" w:type="dxa"/>
          </w:tcPr>
          <w:p w14:paraId="4FFBEE53"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2.9</w:t>
            </w:r>
          </w:p>
        </w:tc>
      </w:tr>
      <w:tr w:rsidR="00AE101A" w:rsidRPr="002A63BA" w14:paraId="5D9BB995" w14:textId="77777777" w:rsidTr="007C3C4B">
        <w:tc>
          <w:tcPr>
            <w:tcW w:w="6212" w:type="dxa"/>
          </w:tcPr>
          <w:p w14:paraId="126D0D08"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Smart technologies could be applied to perform very complex tasks, e.g., planning, organizing, designing, optimizing resources, managing things and people</w:t>
            </w:r>
          </w:p>
        </w:tc>
        <w:tc>
          <w:tcPr>
            <w:tcW w:w="1007" w:type="dxa"/>
          </w:tcPr>
          <w:p w14:paraId="7C99B183"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3.6</w:t>
            </w:r>
          </w:p>
        </w:tc>
        <w:tc>
          <w:tcPr>
            <w:tcW w:w="1007" w:type="dxa"/>
          </w:tcPr>
          <w:p w14:paraId="2F3BE4FA"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4.0</w:t>
            </w:r>
          </w:p>
        </w:tc>
        <w:tc>
          <w:tcPr>
            <w:tcW w:w="1008" w:type="dxa"/>
          </w:tcPr>
          <w:p w14:paraId="27CC245D"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3.8</w:t>
            </w:r>
          </w:p>
        </w:tc>
      </w:tr>
      <w:tr w:rsidR="00AE101A" w:rsidRPr="002A63BA" w14:paraId="3805EC22" w14:textId="77777777" w:rsidTr="007C3C4B">
        <w:tc>
          <w:tcPr>
            <w:tcW w:w="6212" w:type="dxa"/>
          </w:tcPr>
          <w:p w14:paraId="3A2B7301"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want my job to be related to smart technologies</w:t>
            </w:r>
          </w:p>
        </w:tc>
        <w:tc>
          <w:tcPr>
            <w:tcW w:w="1007" w:type="dxa"/>
          </w:tcPr>
          <w:p w14:paraId="2FE7BA17"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3.6</w:t>
            </w:r>
          </w:p>
        </w:tc>
        <w:tc>
          <w:tcPr>
            <w:tcW w:w="1007" w:type="dxa"/>
          </w:tcPr>
          <w:p w14:paraId="67DADE31"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3.6</w:t>
            </w:r>
          </w:p>
        </w:tc>
        <w:tc>
          <w:tcPr>
            <w:tcW w:w="1008" w:type="dxa"/>
          </w:tcPr>
          <w:p w14:paraId="528AF5D6"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3.6</w:t>
            </w:r>
          </w:p>
        </w:tc>
      </w:tr>
    </w:tbl>
    <w:p w14:paraId="5640A293" w14:textId="77777777" w:rsidR="00AE101A" w:rsidRPr="002A63BA" w:rsidRDefault="00AE101A" w:rsidP="00FF3EE4">
      <w:pPr>
        <w:spacing w:line="276" w:lineRule="auto"/>
        <w:rPr>
          <w:rFonts w:ascii="Open Sans" w:eastAsiaTheme="minorEastAsia" w:hAnsi="Open Sans" w:cs="Open Sans"/>
        </w:rPr>
      </w:pPr>
    </w:p>
    <w:p w14:paraId="08A9D386" w14:textId="77777777" w:rsidR="00AE101A" w:rsidRPr="002A63BA" w:rsidRDefault="00AE101A" w:rsidP="00FF3EE4">
      <w:pPr>
        <w:spacing w:line="276" w:lineRule="auto"/>
        <w:rPr>
          <w:rFonts w:ascii="Open Sans" w:hAnsi="Open Sans" w:cs="Open Sans"/>
          <w:b/>
          <w:bCs/>
        </w:rPr>
      </w:pPr>
      <w:r w:rsidRPr="002A63BA">
        <w:rPr>
          <w:rFonts w:ascii="Open Sans" w:hAnsi="Open Sans" w:cs="Open Sans"/>
          <w:b/>
          <w:bCs/>
        </w:rPr>
        <w:t>SMART CITY</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19D9CCDB" w14:textId="77777777" w:rsidTr="00FF3EE4">
        <w:tc>
          <w:tcPr>
            <w:tcW w:w="0" w:type="auto"/>
          </w:tcPr>
          <w:p w14:paraId="7624614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Smart city</w:t>
            </w:r>
          </w:p>
        </w:tc>
        <w:tc>
          <w:tcPr>
            <w:tcW w:w="0" w:type="auto"/>
          </w:tcPr>
          <w:p w14:paraId="6CB55B20"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0475D596"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378F91D1"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68EE0455" w14:textId="77777777" w:rsidTr="00FF3EE4">
        <w:tc>
          <w:tcPr>
            <w:tcW w:w="0" w:type="auto"/>
          </w:tcPr>
          <w:p w14:paraId="53949D70"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am familiar with the concept of a smart city</w:t>
            </w:r>
          </w:p>
        </w:tc>
        <w:tc>
          <w:tcPr>
            <w:tcW w:w="0" w:type="auto"/>
          </w:tcPr>
          <w:p w14:paraId="0768AE2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3.6</w:t>
            </w:r>
          </w:p>
        </w:tc>
        <w:tc>
          <w:tcPr>
            <w:tcW w:w="0" w:type="auto"/>
          </w:tcPr>
          <w:p w14:paraId="55EDC73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3.2</w:t>
            </w:r>
          </w:p>
        </w:tc>
        <w:tc>
          <w:tcPr>
            <w:tcW w:w="0" w:type="auto"/>
          </w:tcPr>
          <w:p w14:paraId="1DFF5F0C"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3.4</w:t>
            </w:r>
          </w:p>
        </w:tc>
      </w:tr>
      <w:tr w:rsidR="00AE101A" w:rsidRPr="002A63BA" w14:paraId="373AF754" w14:textId="77777777" w:rsidTr="00FF3EE4">
        <w:tc>
          <w:tcPr>
            <w:tcW w:w="0" w:type="auto"/>
          </w:tcPr>
          <w:p w14:paraId="0E291AD5"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would be happy to use smart city services in my personal, social and professional life</w:t>
            </w:r>
          </w:p>
        </w:tc>
        <w:tc>
          <w:tcPr>
            <w:tcW w:w="0" w:type="auto"/>
          </w:tcPr>
          <w:p w14:paraId="59F70AB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3.7</w:t>
            </w:r>
          </w:p>
        </w:tc>
        <w:tc>
          <w:tcPr>
            <w:tcW w:w="0" w:type="auto"/>
          </w:tcPr>
          <w:p w14:paraId="7562BDD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3.6</w:t>
            </w:r>
          </w:p>
        </w:tc>
        <w:tc>
          <w:tcPr>
            <w:tcW w:w="0" w:type="auto"/>
          </w:tcPr>
          <w:p w14:paraId="68198CC9"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3.7</w:t>
            </w:r>
          </w:p>
        </w:tc>
      </w:tr>
      <w:tr w:rsidR="00AE101A" w:rsidRPr="002A63BA" w14:paraId="42B33788" w14:textId="77777777" w:rsidTr="00FF3EE4">
        <w:tc>
          <w:tcPr>
            <w:tcW w:w="0" w:type="auto"/>
          </w:tcPr>
          <w:p w14:paraId="6C2F121A"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lastRenderedPageBreak/>
              <w:t>I would prefer to live in the city that has no smart services</w:t>
            </w:r>
          </w:p>
        </w:tc>
        <w:tc>
          <w:tcPr>
            <w:tcW w:w="0" w:type="auto"/>
          </w:tcPr>
          <w:p w14:paraId="64D65F5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2.4</w:t>
            </w:r>
          </w:p>
        </w:tc>
        <w:tc>
          <w:tcPr>
            <w:tcW w:w="0" w:type="auto"/>
          </w:tcPr>
          <w:p w14:paraId="0F13613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2.6</w:t>
            </w:r>
          </w:p>
        </w:tc>
        <w:tc>
          <w:tcPr>
            <w:tcW w:w="0" w:type="auto"/>
          </w:tcPr>
          <w:p w14:paraId="758677EA"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2.5</w:t>
            </w:r>
          </w:p>
        </w:tc>
      </w:tr>
      <w:tr w:rsidR="00AE101A" w:rsidRPr="002A63BA" w14:paraId="20F2B41F" w14:textId="77777777" w:rsidTr="00FF3EE4">
        <w:tc>
          <w:tcPr>
            <w:tcW w:w="0" w:type="auto"/>
          </w:tcPr>
          <w:p w14:paraId="7066290E"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am familiar with the initiatives that my local government is facilitating regarding smart city elements</w:t>
            </w:r>
          </w:p>
        </w:tc>
        <w:tc>
          <w:tcPr>
            <w:tcW w:w="0" w:type="auto"/>
          </w:tcPr>
          <w:p w14:paraId="1A41F75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2.5</w:t>
            </w:r>
          </w:p>
        </w:tc>
        <w:tc>
          <w:tcPr>
            <w:tcW w:w="0" w:type="auto"/>
          </w:tcPr>
          <w:p w14:paraId="6FB9DAB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2.6</w:t>
            </w:r>
          </w:p>
        </w:tc>
        <w:tc>
          <w:tcPr>
            <w:tcW w:w="0" w:type="auto"/>
          </w:tcPr>
          <w:p w14:paraId="48091EE3"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2.6</w:t>
            </w:r>
          </w:p>
        </w:tc>
      </w:tr>
      <w:tr w:rsidR="00AE101A" w:rsidRPr="002A63BA" w14:paraId="4B00856D" w14:textId="77777777" w:rsidTr="00FF3EE4">
        <w:tc>
          <w:tcPr>
            <w:tcW w:w="0" w:type="auto"/>
          </w:tcPr>
          <w:p w14:paraId="19F4D1F2"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I believe that smart city can improve the quality of life</w:t>
            </w:r>
          </w:p>
        </w:tc>
        <w:tc>
          <w:tcPr>
            <w:tcW w:w="0" w:type="auto"/>
          </w:tcPr>
          <w:p w14:paraId="6026EBB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3.7</w:t>
            </w:r>
          </w:p>
        </w:tc>
        <w:tc>
          <w:tcPr>
            <w:tcW w:w="0" w:type="auto"/>
          </w:tcPr>
          <w:p w14:paraId="502E555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3.7</w:t>
            </w:r>
          </w:p>
        </w:tc>
        <w:tc>
          <w:tcPr>
            <w:tcW w:w="0" w:type="auto"/>
          </w:tcPr>
          <w:p w14:paraId="1C8C3CAD"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3.7</w:t>
            </w:r>
          </w:p>
        </w:tc>
      </w:tr>
      <w:tr w:rsidR="00AE101A" w:rsidRPr="002A63BA" w14:paraId="0D88BF81" w14:textId="77777777" w:rsidTr="00FF3EE4">
        <w:tc>
          <w:tcPr>
            <w:tcW w:w="0" w:type="auto"/>
          </w:tcPr>
          <w:p w14:paraId="6E0B727F"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I look forward to the widespread of smart cities</w:t>
            </w:r>
          </w:p>
        </w:tc>
        <w:tc>
          <w:tcPr>
            <w:tcW w:w="0" w:type="auto"/>
          </w:tcPr>
          <w:p w14:paraId="4834726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3.5</w:t>
            </w:r>
          </w:p>
        </w:tc>
        <w:tc>
          <w:tcPr>
            <w:tcW w:w="0" w:type="auto"/>
          </w:tcPr>
          <w:p w14:paraId="1F16252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3.6</w:t>
            </w:r>
          </w:p>
        </w:tc>
        <w:tc>
          <w:tcPr>
            <w:tcW w:w="0" w:type="auto"/>
          </w:tcPr>
          <w:p w14:paraId="2F9BF813"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3.5</w:t>
            </w:r>
          </w:p>
        </w:tc>
      </w:tr>
      <w:tr w:rsidR="00AE101A" w:rsidRPr="002A63BA" w14:paraId="791BFAEF" w14:textId="77777777" w:rsidTr="00FF3EE4">
        <w:tc>
          <w:tcPr>
            <w:tcW w:w="0" w:type="auto"/>
          </w:tcPr>
          <w:p w14:paraId="52278018"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I look forward to living in a smart city</w:t>
            </w:r>
          </w:p>
        </w:tc>
        <w:tc>
          <w:tcPr>
            <w:tcW w:w="0" w:type="auto"/>
          </w:tcPr>
          <w:p w14:paraId="5069F67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3.5</w:t>
            </w:r>
          </w:p>
        </w:tc>
        <w:tc>
          <w:tcPr>
            <w:tcW w:w="0" w:type="auto"/>
          </w:tcPr>
          <w:p w14:paraId="0C20A2E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3.5</w:t>
            </w:r>
          </w:p>
        </w:tc>
        <w:tc>
          <w:tcPr>
            <w:tcW w:w="0" w:type="auto"/>
          </w:tcPr>
          <w:p w14:paraId="5B161477"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3.5</w:t>
            </w:r>
          </w:p>
        </w:tc>
      </w:tr>
    </w:tbl>
    <w:p w14:paraId="41769DA2" w14:textId="77777777" w:rsidR="00AE101A" w:rsidRPr="002A63BA" w:rsidRDefault="00AE101A" w:rsidP="00FF3EE4">
      <w:pPr>
        <w:spacing w:line="276" w:lineRule="auto"/>
        <w:rPr>
          <w:rFonts w:ascii="Open Sans" w:hAnsi="Open Sans" w:cs="Open Sans"/>
        </w:rPr>
      </w:pPr>
    </w:p>
    <w:p w14:paraId="7E8A1E99"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Regarding the smart city in general, all respondents on average agree slightly that they are familiar with the smart city concept (Slovenes more than Croats), while they disagree slightly that they are familiar with initiatives of their local government on SC elements. They agree slightly that they would be happy to use SC services in their personal, social and professional life, and that smart cities can improve their quality of life and that they are looking forward to living in one. Moreover, they disagree slightly that they would prefer to live in a city without smart city services.</w:t>
      </w:r>
    </w:p>
    <w:tbl>
      <w:tblPr>
        <w:tblStyle w:val="Reetkatablice"/>
        <w:tblW w:w="0" w:type="auto"/>
        <w:tblLook w:val="04A0" w:firstRow="1" w:lastRow="0" w:firstColumn="1" w:lastColumn="0" w:noHBand="0" w:noVBand="1"/>
      </w:tblPr>
      <w:tblGrid>
        <w:gridCol w:w="3905"/>
        <w:gridCol w:w="1141"/>
        <w:gridCol w:w="1021"/>
        <w:gridCol w:w="776"/>
      </w:tblGrid>
      <w:tr w:rsidR="00AE101A" w:rsidRPr="002A63BA" w14:paraId="6CAA879E" w14:textId="77777777" w:rsidTr="00FF3EE4">
        <w:tc>
          <w:tcPr>
            <w:tcW w:w="0" w:type="auto"/>
          </w:tcPr>
          <w:p w14:paraId="13C4D01E"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Smart city elements</w:t>
            </w:r>
          </w:p>
        </w:tc>
        <w:tc>
          <w:tcPr>
            <w:tcW w:w="0" w:type="auto"/>
          </w:tcPr>
          <w:p w14:paraId="0070BE2F"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003CB5CB"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3416E060"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343B9A2A" w14:textId="77777777" w:rsidTr="00FF3EE4">
        <w:tc>
          <w:tcPr>
            <w:tcW w:w="0" w:type="auto"/>
          </w:tcPr>
          <w:p w14:paraId="6521AA70"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Smart public transportation</w:t>
            </w:r>
          </w:p>
        </w:tc>
        <w:tc>
          <w:tcPr>
            <w:tcW w:w="0" w:type="auto"/>
          </w:tcPr>
          <w:p w14:paraId="5794763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4.2</w:t>
            </w:r>
          </w:p>
        </w:tc>
        <w:tc>
          <w:tcPr>
            <w:tcW w:w="0" w:type="auto"/>
          </w:tcPr>
          <w:p w14:paraId="7587C23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4.2</w:t>
            </w:r>
          </w:p>
        </w:tc>
        <w:tc>
          <w:tcPr>
            <w:tcW w:w="0" w:type="auto"/>
          </w:tcPr>
          <w:p w14:paraId="7431C410"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4.2</w:t>
            </w:r>
          </w:p>
        </w:tc>
      </w:tr>
      <w:tr w:rsidR="00AE101A" w:rsidRPr="002A63BA" w14:paraId="47C9D7E4" w14:textId="77777777" w:rsidTr="00FF3EE4">
        <w:tc>
          <w:tcPr>
            <w:tcW w:w="0" w:type="auto"/>
          </w:tcPr>
          <w:p w14:paraId="6D961CF0"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Smart parking system</w:t>
            </w:r>
          </w:p>
        </w:tc>
        <w:tc>
          <w:tcPr>
            <w:tcW w:w="0" w:type="auto"/>
          </w:tcPr>
          <w:p w14:paraId="32E121A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4.4</w:t>
            </w:r>
          </w:p>
        </w:tc>
        <w:tc>
          <w:tcPr>
            <w:tcW w:w="0" w:type="auto"/>
          </w:tcPr>
          <w:p w14:paraId="01D567F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4.2</w:t>
            </w:r>
          </w:p>
        </w:tc>
        <w:tc>
          <w:tcPr>
            <w:tcW w:w="0" w:type="auto"/>
          </w:tcPr>
          <w:p w14:paraId="7302A6E7"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4.3</w:t>
            </w:r>
          </w:p>
        </w:tc>
      </w:tr>
      <w:tr w:rsidR="00AE101A" w:rsidRPr="002A63BA" w14:paraId="0FCC0740" w14:textId="77777777" w:rsidTr="00FF3EE4">
        <w:tc>
          <w:tcPr>
            <w:tcW w:w="0" w:type="auto"/>
          </w:tcPr>
          <w:p w14:paraId="256C2CDB"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Smart health care</w:t>
            </w:r>
          </w:p>
        </w:tc>
        <w:tc>
          <w:tcPr>
            <w:tcW w:w="0" w:type="auto"/>
          </w:tcPr>
          <w:p w14:paraId="42019E0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4.1</w:t>
            </w:r>
          </w:p>
        </w:tc>
        <w:tc>
          <w:tcPr>
            <w:tcW w:w="0" w:type="auto"/>
          </w:tcPr>
          <w:p w14:paraId="531875E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4.2</w:t>
            </w:r>
          </w:p>
        </w:tc>
        <w:tc>
          <w:tcPr>
            <w:tcW w:w="0" w:type="auto"/>
          </w:tcPr>
          <w:p w14:paraId="6C6F95A0"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4.2</w:t>
            </w:r>
          </w:p>
        </w:tc>
      </w:tr>
      <w:tr w:rsidR="00AE101A" w:rsidRPr="002A63BA" w14:paraId="040DD536" w14:textId="77777777" w:rsidTr="00FF3EE4">
        <w:tc>
          <w:tcPr>
            <w:tcW w:w="0" w:type="auto"/>
          </w:tcPr>
          <w:p w14:paraId="213ED9ED"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Citizen-government interconnection</w:t>
            </w:r>
          </w:p>
        </w:tc>
        <w:tc>
          <w:tcPr>
            <w:tcW w:w="0" w:type="auto"/>
          </w:tcPr>
          <w:p w14:paraId="033B0B0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3.8</w:t>
            </w:r>
          </w:p>
        </w:tc>
        <w:tc>
          <w:tcPr>
            <w:tcW w:w="0" w:type="auto"/>
          </w:tcPr>
          <w:p w14:paraId="0B21D7C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4.1</w:t>
            </w:r>
          </w:p>
        </w:tc>
        <w:tc>
          <w:tcPr>
            <w:tcW w:w="0" w:type="auto"/>
          </w:tcPr>
          <w:p w14:paraId="2C604397"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4.0</w:t>
            </w:r>
          </w:p>
        </w:tc>
      </w:tr>
      <w:tr w:rsidR="00AE101A" w:rsidRPr="002A63BA" w14:paraId="7FADFA04" w14:textId="77777777" w:rsidTr="00FF3EE4">
        <w:tc>
          <w:tcPr>
            <w:tcW w:w="0" w:type="auto"/>
          </w:tcPr>
          <w:p w14:paraId="21B92949"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Smart street lightening</w:t>
            </w:r>
          </w:p>
        </w:tc>
        <w:tc>
          <w:tcPr>
            <w:tcW w:w="0" w:type="auto"/>
          </w:tcPr>
          <w:p w14:paraId="57719B3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4.4</w:t>
            </w:r>
          </w:p>
        </w:tc>
        <w:tc>
          <w:tcPr>
            <w:tcW w:w="0" w:type="auto"/>
          </w:tcPr>
          <w:p w14:paraId="3C5D60D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4.2</w:t>
            </w:r>
          </w:p>
        </w:tc>
        <w:tc>
          <w:tcPr>
            <w:tcW w:w="0" w:type="auto"/>
          </w:tcPr>
          <w:p w14:paraId="6558186D"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4.3</w:t>
            </w:r>
          </w:p>
        </w:tc>
      </w:tr>
      <w:tr w:rsidR="00AE101A" w:rsidRPr="002A63BA" w14:paraId="2F1AE8E5" w14:textId="77777777" w:rsidTr="00FF3EE4">
        <w:tc>
          <w:tcPr>
            <w:tcW w:w="0" w:type="auto"/>
          </w:tcPr>
          <w:p w14:paraId="505D6549"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Smart waste disposal</w:t>
            </w:r>
          </w:p>
        </w:tc>
        <w:tc>
          <w:tcPr>
            <w:tcW w:w="0" w:type="auto"/>
          </w:tcPr>
          <w:p w14:paraId="2A0388D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4.5</w:t>
            </w:r>
          </w:p>
        </w:tc>
        <w:tc>
          <w:tcPr>
            <w:tcW w:w="0" w:type="auto"/>
          </w:tcPr>
          <w:p w14:paraId="64A5B2D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4.4</w:t>
            </w:r>
          </w:p>
        </w:tc>
        <w:tc>
          <w:tcPr>
            <w:tcW w:w="0" w:type="auto"/>
          </w:tcPr>
          <w:p w14:paraId="43C9C86D"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4.4</w:t>
            </w:r>
          </w:p>
        </w:tc>
      </w:tr>
    </w:tbl>
    <w:p w14:paraId="3665773A" w14:textId="77777777" w:rsidR="00AE101A" w:rsidRPr="002A63BA" w:rsidRDefault="00AE101A" w:rsidP="00FF3EE4">
      <w:pPr>
        <w:spacing w:line="276" w:lineRule="auto"/>
        <w:rPr>
          <w:rFonts w:ascii="Open Sans" w:eastAsiaTheme="minorEastAsia" w:hAnsi="Open Sans" w:cs="Open Sans"/>
        </w:rPr>
      </w:pPr>
    </w:p>
    <w:p w14:paraId="6D9BC455"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 xml:space="preserve">Regarding the distinct smart city elements, all respondents on average agree with all smart city elements being included in their city, such as smart public transportation, smart parking system, smart health care, smart street lightening, smart waste disposal and citizen government </w:t>
      </w:r>
      <w:r w:rsidRPr="002A63BA">
        <w:rPr>
          <w:rFonts w:ascii="Open Sans" w:eastAsiaTheme="minorEastAsia" w:hAnsi="Open Sans" w:cs="Open Sans"/>
        </w:rPr>
        <w:lastRenderedPageBreak/>
        <w:t>interconnection. They most strongly agree with smart waste disposal implementation.</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7C301CF3" w14:textId="77777777" w:rsidTr="00FF3EE4">
        <w:tc>
          <w:tcPr>
            <w:tcW w:w="0" w:type="auto"/>
          </w:tcPr>
          <w:p w14:paraId="0BC7F00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Sensors and smart devices</w:t>
            </w:r>
          </w:p>
        </w:tc>
        <w:tc>
          <w:tcPr>
            <w:tcW w:w="0" w:type="auto"/>
          </w:tcPr>
          <w:p w14:paraId="10504631"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72A16CC3"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35D66010"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6FE11E62" w14:textId="77777777" w:rsidTr="00FF3EE4">
        <w:tc>
          <w:tcPr>
            <w:tcW w:w="0" w:type="auto"/>
          </w:tcPr>
          <w:p w14:paraId="5CD39FFE"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do not mind installing appliances with internet-connected sensors in my home</w:t>
            </w:r>
          </w:p>
        </w:tc>
        <w:tc>
          <w:tcPr>
            <w:tcW w:w="0" w:type="auto"/>
          </w:tcPr>
          <w:p w14:paraId="3DADCE1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3.3</w:t>
            </w:r>
          </w:p>
        </w:tc>
        <w:tc>
          <w:tcPr>
            <w:tcW w:w="0" w:type="auto"/>
          </w:tcPr>
          <w:p w14:paraId="4FC7CA4E"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2.8</w:t>
            </w:r>
          </w:p>
        </w:tc>
        <w:tc>
          <w:tcPr>
            <w:tcW w:w="0" w:type="auto"/>
          </w:tcPr>
          <w:p w14:paraId="3EA8E189"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3.0</w:t>
            </w:r>
          </w:p>
        </w:tc>
      </w:tr>
      <w:tr w:rsidR="00AE101A" w:rsidRPr="002A63BA" w14:paraId="576722A6" w14:textId="77777777" w:rsidTr="00FF3EE4">
        <w:tc>
          <w:tcPr>
            <w:tcW w:w="0" w:type="auto"/>
          </w:tcPr>
          <w:p w14:paraId="2A5778BC"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believe smart devices can make better decisions than humans</w:t>
            </w:r>
          </w:p>
        </w:tc>
        <w:tc>
          <w:tcPr>
            <w:tcW w:w="0" w:type="auto"/>
          </w:tcPr>
          <w:p w14:paraId="78BF83C2"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3.0</w:t>
            </w:r>
          </w:p>
        </w:tc>
        <w:tc>
          <w:tcPr>
            <w:tcW w:w="0" w:type="auto"/>
          </w:tcPr>
          <w:p w14:paraId="662EA3E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2.5</w:t>
            </w:r>
          </w:p>
        </w:tc>
        <w:tc>
          <w:tcPr>
            <w:tcW w:w="0" w:type="auto"/>
          </w:tcPr>
          <w:p w14:paraId="2652F3FE"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lang w:eastAsia="sl-SI"/>
              </w:rPr>
              <w:t>2.7</w:t>
            </w:r>
          </w:p>
        </w:tc>
      </w:tr>
      <w:tr w:rsidR="00AE101A" w:rsidRPr="002A63BA" w14:paraId="399347E9" w14:textId="77777777" w:rsidTr="00FF3EE4">
        <w:tc>
          <w:tcPr>
            <w:tcW w:w="0" w:type="auto"/>
          </w:tcPr>
          <w:p w14:paraId="2AA9302B"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would allow a smart device to make daily decision for me, e.g., organizing tasks, ordering food and clothes</w:t>
            </w:r>
          </w:p>
        </w:tc>
        <w:tc>
          <w:tcPr>
            <w:tcW w:w="0" w:type="auto"/>
          </w:tcPr>
          <w:p w14:paraId="37A9B0B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2.7</w:t>
            </w:r>
          </w:p>
        </w:tc>
        <w:tc>
          <w:tcPr>
            <w:tcW w:w="0" w:type="auto"/>
          </w:tcPr>
          <w:p w14:paraId="03EE620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2.2</w:t>
            </w:r>
          </w:p>
        </w:tc>
        <w:tc>
          <w:tcPr>
            <w:tcW w:w="0" w:type="auto"/>
          </w:tcPr>
          <w:p w14:paraId="6B33B428"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2.4</w:t>
            </w:r>
          </w:p>
        </w:tc>
      </w:tr>
      <w:tr w:rsidR="00AE101A" w:rsidRPr="002A63BA" w14:paraId="06BA93CA" w14:textId="77777777" w:rsidTr="00FF3EE4">
        <w:tc>
          <w:tcPr>
            <w:tcW w:w="0" w:type="auto"/>
          </w:tcPr>
          <w:p w14:paraId="623A8657" w14:textId="77777777" w:rsidR="00AE101A" w:rsidRPr="002A63BA" w:rsidRDefault="00AE101A" w:rsidP="00FF3EE4">
            <w:pPr>
              <w:spacing w:line="276" w:lineRule="auto"/>
              <w:rPr>
                <w:rFonts w:ascii="Open Sans" w:eastAsia="Calibri" w:hAnsi="Open Sans" w:cs="Open Sans"/>
              </w:rPr>
            </w:pPr>
            <w:r w:rsidRPr="002A63BA">
              <w:rPr>
                <w:rFonts w:ascii="Open Sans" w:eastAsiaTheme="minorEastAsia" w:hAnsi="Open Sans" w:cs="Open Sans"/>
              </w:rPr>
              <w:t>I would allow a smart device to make an important decision for me, e.g., choosing a field of study, turning down a promotion</w:t>
            </w:r>
          </w:p>
        </w:tc>
        <w:tc>
          <w:tcPr>
            <w:tcW w:w="0" w:type="auto"/>
          </w:tcPr>
          <w:p w14:paraId="7A40A97E"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1.9</w:t>
            </w:r>
          </w:p>
        </w:tc>
        <w:tc>
          <w:tcPr>
            <w:tcW w:w="0" w:type="auto"/>
          </w:tcPr>
          <w:p w14:paraId="1DB34A9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1.9</w:t>
            </w:r>
          </w:p>
        </w:tc>
        <w:tc>
          <w:tcPr>
            <w:tcW w:w="0" w:type="auto"/>
          </w:tcPr>
          <w:p w14:paraId="0240B05D" w14:textId="77777777" w:rsidR="00AE101A" w:rsidRPr="002A63BA" w:rsidRDefault="00AE101A" w:rsidP="00FF3EE4">
            <w:pPr>
              <w:spacing w:line="276" w:lineRule="auto"/>
              <w:rPr>
                <w:rFonts w:ascii="Open Sans" w:eastAsia="Calibri" w:hAnsi="Open Sans" w:cs="Open Sans"/>
              </w:rPr>
            </w:pPr>
            <w:r w:rsidRPr="002A63BA">
              <w:rPr>
                <w:rFonts w:ascii="Open Sans" w:eastAsia="Calibri" w:hAnsi="Open Sans" w:cs="Open Sans"/>
              </w:rPr>
              <w:t>1.9</w:t>
            </w:r>
          </w:p>
        </w:tc>
      </w:tr>
      <w:tr w:rsidR="00AE101A" w:rsidRPr="002A63BA" w14:paraId="2C518EE5" w14:textId="77777777" w:rsidTr="00FF3EE4">
        <w:tc>
          <w:tcPr>
            <w:tcW w:w="0" w:type="auto"/>
          </w:tcPr>
          <w:p w14:paraId="3EC4621C"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I would be willing to use robots not only at work but also in my everyday life</w:t>
            </w:r>
          </w:p>
        </w:tc>
        <w:tc>
          <w:tcPr>
            <w:tcW w:w="0" w:type="auto"/>
          </w:tcPr>
          <w:p w14:paraId="0EF49FB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3.1</w:t>
            </w:r>
          </w:p>
        </w:tc>
        <w:tc>
          <w:tcPr>
            <w:tcW w:w="0" w:type="auto"/>
          </w:tcPr>
          <w:p w14:paraId="599FC19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color w:val="010205"/>
                <w:lang w:val="sl-SI"/>
              </w:rPr>
              <w:t>2.4</w:t>
            </w:r>
          </w:p>
        </w:tc>
        <w:tc>
          <w:tcPr>
            <w:tcW w:w="0" w:type="auto"/>
          </w:tcPr>
          <w:p w14:paraId="60D37C39"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2.7</w:t>
            </w:r>
          </w:p>
        </w:tc>
      </w:tr>
    </w:tbl>
    <w:p w14:paraId="4FE3A827" w14:textId="77777777" w:rsidR="00AE101A" w:rsidRPr="002A63BA" w:rsidRDefault="00AE101A" w:rsidP="00FF3EE4">
      <w:pPr>
        <w:spacing w:line="276" w:lineRule="auto"/>
        <w:rPr>
          <w:rFonts w:ascii="Open Sans" w:eastAsiaTheme="minorEastAsia" w:hAnsi="Open Sans" w:cs="Open Sans"/>
        </w:rPr>
      </w:pPr>
    </w:p>
    <w:p w14:paraId="6BB6CC83" w14:textId="77777777" w:rsidR="00AE101A" w:rsidRPr="002A63BA" w:rsidRDefault="00AE101A" w:rsidP="00FF3EE4">
      <w:pPr>
        <w:spacing w:line="276" w:lineRule="auto"/>
        <w:rPr>
          <w:rFonts w:ascii="Open Sans" w:eastAsiaTheme="minorEastAsia" w:hAnsi="Open Sans" w:cs="Open Sans"/>
        </w:rPr>
      </w:pPr>
      <w:r w:rsidRPr="002A63BA">
        <w:rPr>
          <w:rFonts w:ascii="Open Sans" w:eastAsiaTheme="minorEastAsia" w:hAnsi="Open Sans" w:cs="Open Sans"/>
        </w:rPr>
        <w:t>Regarding sensors and smart devices use in smart cities, all respondents are on average neutral about installation of appliances with inter-connected sensors in their homes (Slovenes agree more than Croats). They disagree slightly that they would be willing to use robots at work, as well as in their daily life (Croats disagree more than Slovenes), since they believe that smart devices cannot make better decisions than humans (Slovenes agree more than Croats). They would prefer to use smart devices for daily decisions, such as organizing tasks or ordering food and clothes (Slovenes more than Croats), then for making important decisions, such as choosing a field of study or turning down a promotion, but they are not keen on using smart devices for either of these. To summarize, Croats are less keen on implementation and use of sensors and smart devices for work and in daily life. Besides that, Slovene and Croats disagree with the use of sensors and smart devices for making important decisions for them.</w:t>
      </w:r>
    </w:p>
    <w:p w14:paraId="5ED0B074" w14:textId="77777777" w:rsidR="00AE101A" w:rsidRPr="002A63BA" w:rsidRDefault="00AE101A" w:rsidP="00FF3EE4">
      <w:pPr>
        <w:pStyle w:val="N1"/>
      </w:pPr>
      <w:r w:rsidRPr="002A63BA">
        <w:lastRenderedPageBreak/>
        <w:t>SECURITY AND PRIVACY IN SMART CITIES</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2A7D0FF6" w14:textId="77777777" w:rsidTr="00FF3EE4">
        <w:tc>
          <w:tcPr>
            <w:tcW w:w="0" w:type="auto"/>
          </w:tcPr>
          <w:p w14:paraId="070E3D8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Security and privacy in smart cities</w:t>
            </w:r>
          </w:p>
        </w:tc>
        <w:tc>
          <w:tcPr>
            <w:tcW w:w="0" w:type="auto"/>
          </w:tcPr>
          <w:p w14:paraId="485AAF98"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5A0F2E5D"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13727EF4"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1418BD7C" w14:textId="77777777" w:rsidTr="00FF3EE4">
        <w:tc>
          <w:tcPr>
            <w:tcW w:w="0" w:type="auto"/>
          </w:tcPr>
          <w:p w14:paraId="1ADA287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Data privacy</w:t>
            </w:r>
          </w:p>
        </w:tc>
        <w:tc>
          <w:tcPr>
            <w:tcW w:w="0" w:type="auto"/>
          </w:tcPr>
          <w:p w14:paraId="3E4FE7E7"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c>
          <w:tcPr>
            <w:tcW w:w="0" w:type="auto"/>
          </w:tcPr>
          <w:p w14:paraId="1A804E01"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4.1</w:t>
            </w:r>
          </w:p>
        </w:tc>
        <w:tc>
          <w:tcPr>
            <w:tcW w:w="0" w:type="auto"/>
          </w:tcPr>
          <w:p w14:paraId="473D41F9"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r>
      <w:tr w:rsidR="00AE101A" w:rsidRPr="002A63BA" w14:paraId="5FFC099E" w14:textId="77777777" w:rsidTr="00FF3EE4">
        <w:tc>
          <w:tcPr>
            <w:tcW w:w="0" w:type="auto"/>
          </w:tcPr>
          <w:p w14:paraId="1429F13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Security issues</w:t>
            </w:r>
          </w:p>
        </w:tc>
        <w:tc>
          <w:tcPr>
            <w:tcW w:w="0" w:type="auto"/>
          </w:tcPr>
          <w:p w14:paraId="2817F3DF"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4.0</w:t>
            </w:r>
          </w:p>
        </w:tc>
        <w:tc>
          <w:tcPr>
            <w:tcW w:w="0" w:type="auto"/>
          </w:tcPr>
          <w:p w14:paraId="39F37586"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3.8</w:t>
            </w:r>
          </w:p>
        </w:tc>
        <w:tc>
          <w:tcPr>
            <w:tcW w:w="0" w:type="auto"/>
          </w:tcPr>
          <w:p w14:paraId="4BF06268"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3.9</w:t>
            </w:r>
          </w:p>
        </w:tc>
      </w:tr>
      <w:tr w:rsidR="00AE101A" w:rsidRPr="002A63BA" w14:paraId="39D3A148" w14:textId="77777777" w:rsidTr="00FF3EE4">
        <w:tc>
          <w:tcPr>
            <w:tcW w:w="0" w:type="auto"/>
          </w:tcPr>
          <w:p w14:paraId="6309EA6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Transparency of services</w:t>
            </w:r>
          </w:p>
        </w:tc>
        <w:tc>
          <w:tcPr>
            <w:tcW w:w="0" w:type="auto"/>
          </w:tcPr>
          <w:p w14:paraId="0E737DB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3.1</w:t>
            </w:r>
          </w:p>
        </w:tc>
        <w:tc>
          <w:tcPr>
            <w:tcW w:w="0" w:type="auto"/>
          </w:tcPr>
          <w:p w14:paraId="7FAAA3B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5057228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3.3</w:t>
            </w:r>
          </w:p>
        </w:tc>
      </w:tr>
      <w:tr w:rsidR="00AE101A" w:rsidRPr="002A63BA" w14:paraId="1FF36CF6" w14:textId="77777777" w:rsidTr="00FF3EE4">
        <w:tc>
          <w:tcPr>
            <w:tcW w:w="0" w:type="auto"/>
          </w:tcPr>
          <w:p w14:paraId="06DF08A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Complexity of services</w:t>
            </w:r>
          </w:p>
        </w:tc>
        <w:tc>
          <w:tcPr>
            <w:tcW w:w="0" w:type="auto"/>
          </w:tcPr>
          <w:p w14:paraId="355B725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c>
          <w:tcPr>
            <w:tcW w:w="0" w:type="auto"/>
          </w:tcPr>
          <w:p w14:paraId="103E49A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3.3</w:t>
            </w:r>
          </w:p>
        </w:tc>
        <w:tc>
          <w:tcPr>
            <w:tcW w:w="0" w:type="auto"/>
          </w:tcPr>
          <w:p w14:paraId="409B46A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r>
      <w:tr w:rsidR="00AE101A" w:rsidRPr="002A63BA" w14:paraId="6FD342AD" w14:textId="77777777" w:rsidTr="00FF3EE4">
        <w:tc>
          <w:tcPr>
            <w:tcW w:w="0" w:type="auto"/>
          </w:tcPr>
          <w:p w14:paraId="58A7D47C"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Historical records of activities</w:t>
            </w:r>
          </w:p>
        </w:tc>
        <w:tc>
          <w:tcPr>
            <w:tcW w:w="0" w:type="auto"/>
          </w:tcPr>
          <w:p w14:paraId="398F7EF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c>
          <w:tcPr>
            <w:tcW w:w="0" w:type="auto"/>
          </w:tcPr>
          <w:p w14:paraId="51060B5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6FECF080"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3.5</w:t>
            </w:r>
          </w:p>
        </w:tc>
      </w:tr>
      <w:tr w:rsidR="00AE101A" w:rsidRPr="002A63BA" w14:paraId="74763A35" w14:textId="77777777" w:rsidTr="00FF3EE4">
        <w:tc>
          <w:tcPr>
            <w:tcW w:w="0" w:type="auto"/>
          </w:tcPr>
          <w:p w14:paraId="16B1E182"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The use of my data and preferences by other parties</w:t>
            </w:r>
          </w:p>
        </w:tc>
        <w:tc>
          <w:tcPr>
            <w:tcW w:w="0" w:type="auto"/>
          </w:tcPr>
          <w:p w14:paraId="4124F90A" w14:textId="77777777" w:rsidR="00AE101A" w:rsidRPr="002A63BA" w:rsidRDefault="00AE101A" w:rsidP="00FF3EE4">
            <w:pPr>
              <w:spacing w:line="276" w:lineRule="auto"/>
              <w:rPr>
                <w:rFonts w:ascii="Open Sans" w:hAnsi="Open Sans" w:cs="Open Sans"/>
                <w:color w:val="70AD47" w:themeColor="accent6"/>
              </w:rPr>
            </w:pPr>
            <w:r w:rsidRPr="002A63BA">
              <w:rPr>
                <w:rFonts w:ascii="Open Sans" w:hAnsi="Open Sans" w:cs="Open Sans"/>
              </w:rPr>
              <w:t>3.9</w:t>
            </w:r>
          </w:p>
        </w:tc>
        <w:tc>
          <w:tcPr>
            <w:tcW w:w="0" w:type="auto"/>
          </w:tcPr>
          <w:p w14:paraId="4272D30B"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3.9</w:t>
            </w:r>
          </w:p>
        </w:tc>
        <w:tc>
          <w:tcPr>
            <w:tcW w:w="0" w:type="auto"/>
          </w:tcPr>
          <w:p w14:paraId="4A1721BD" w14:textId="77777777" w:rsidR="00AE101A" w:rsidRPr="002A63BA" w:rsidRDefault="00AE101A" w:rsidP="00FF3EE4">
            <w:pPr>
              <w:spacing w:line="276" w:lineRule="auto"/>
              <w:rPr>
                <w:rFonts w:ascii="Open Sans" w:eastAsiaTheme="minorEastAsia" w:hAnsi="Open Sans" w:cs="Open Sans"/>
                <w:color w:val="70AD47" w:themeColor="accent6"/>
              </w:rPr>
            </w:pPr>
            <w:r w:rsidRPr="002A63BA">
              <w:rPr>
                <w:rFonts w:ascii="Open Sans" w:hAnsi="Open Sans" w:cs="Open Sans"/>
              </w:rPr>
              <w:t>3.9</w:t>
            </w:r>
          </w:p>
        </w:tc>
      </w:tr>
      <w:tr w:rsidR="00AE101A" w:rsidRPr="002A63BA" w14:paraId="2CE162BD" w14:textId="77777777" w:rsidTr="00FF3EE4">
        <w:tc>
          <w:tcPr>
            <w:tcW w:w="0" w:type="auto"/>
          </w:tcPr>
          <w:p w14:paraId="76A3E854"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Implementing 5G networks</w:t>
            </w:r>
          </w:p>
        </w:tc>
        <w:tc>
          <w:tcPr>
            <w:tcW w:w="0" w:type="auto"/>
          </w:tcPr>
          <w:p w14:paraId="0914E012" w14:textId="77777777" w:rsidR="00AE101A" w:rsidRPr="002A63BA" w:rsidRDefault="00AE101A" w:rsidP="00FF3EE4">
            <w:pPr>
              <w:spacing w:line="276" w:lineRule="auto"/>
              <w:rPr>
                <w:rFonts w:ascii="Open Sans" w:hAnsi="Open Sans" w:cs="Open Sans"/>
              </w:rPr>
            </w:pPr>
            <w:r w:rsidRPr="002A63BA">
              <w:rPr>
                <w:rFonts w:ascii="Open Sans" w:hAnsi="Open Sans" w:cs="Open Sans"/>
              </w:rPr>
              <w:t>2.9</w:t>
            </w:r>
          </w:p>
        </w:tc>
        <w:tc>
          <w:tcPr>
            <w:tcW w:w="0" w:type="auto"/>
          </w:tcPr>
          <w:p w14:paraId="00E4C84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3.1</w:t>
            </w:r>
          </w:p>
        </w:tc>
        <w:tc>
          <w:tcPr>
            <w:tcW w:w="0" w:type="auto"/>
          </w:tcPr>
          <w:p w14:paraId="63E3953E"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3.0</w:t>
            </w:r>
          </w:p>
        </w:tc>
      </w:tr>
      <w:tr w:rsidR="00AE101A" w:rsidRPr="002A63BA" w14:paraId="6DC6A2E2" w14:textId="77777777" w:rsidTr="00FF3EE4">
        <w:tc>
          <w:tcPr>
            <w:tcW w:w="0" w:type="auto"/>
          </w:tcPr>
          <w:p w14:paraId="5D95AB39"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Democracy, transparency and consideration of interests</w:t>
            </w:r>
          </w:p>
        </w:tc>
        <w:tc>
          <w:tcPr>
            <w:tcW w:w="0" w:type="auto"/>
          </w:tcPr>
          <w:p w14:paraId="51D69D3F" w14:textId="77777777" w:rsidR="00AE101A" w:rsidRPr="002A63BA" w:rsidRDefault="00AE101A" w:rsidP="00FF3EE4">
            <w:pPr>
              <w:spacing w:line="276" w:lineRule="auto"/>
              <w:rPr>
                <w:rFonts w:ascii="Open Sans" w:hAnsi="Open Sans" w:cs="Open Sans"/>
              </w:rPr>
            </w:pPr>
            <w:r w:rsidRPr="002A63BA">
              <w:rPr>
                <w:rFonts w:ascii="Open Sans" w:hAnsi="Open Sans" w:cs="Open Sans"/>
              </w:rPr>
              <w:t>3.4</w:t>
            </w:r>
          </w:p>
        </w:tc>
        <w:tc>
          <w:tcPr>
            <w:tcW w:w="0" w:type="auto"/>
          </w:tcPr>
          <w:p w14:paraId="315B572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182C124C"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3.4</w:t>
            </w:r>
          </w:p>
        </w:tc>
      </w:tr>
    </w:tbl>
    <w:p w14:paraId="7863978F" w14:textId="77777777" w:rsidR="00AE101A" w:rsidRPr="002A63BA" w:rsidRDefault="00AE101A" w:rsidP="00FF3EE4">
      <w:pPr>
        <w:spacing w:line="276" w:lineRule="auto"/>
        <w:rPr>
          <w:rFonts w:ascii="Open Sans" w:hAnsi="Open Sans" w:cs="Open Sans"/>
        </w:rPr>
      </w:pPr>
    </w:p>
    <w:p w14:paraId="1FBA32AD" w14:textId="77777777" w:rsidR="00AE101A" w:rsidRPr="002A63BA" w:rsidRDefault="00AE101A" w:rsidP="00FF3EE4">
      <w:pPr>
        <w:spacing w:line="276" w:lineRule="auto"/>
        <w:rPr>
          <w:rFonts w:ascii="Open Sans" w:hAnsi="Open Sans" w:cs="Open Sans"/>
        </w:rPr>
      </w:pPr>
      <w:r w:rsidRPr="002A63BA">
        <w:rPr>
          <w:rFonts w:ascii="Open Sans" w:hAnsi="Open Sans" w:cs="Open Sans"/>
        </w:rPr>
        <w:t>Regarding security and privacy issues in smart cities, all respondents are on average most concerned regarding data privacy issues, security issues, and the use of their data and preferences by other parties. They are neutral regarding the implementation of 5G networks, but otherwise agree there are security and privacy issues in smart cities. Nevertheless, they are not strongly concerned about it. There are no great differences between the perception of security and privacy between Slovenes and Croats.</w:t>
      </w:r>
    </w:p>
    <w:p w14:paraId="4536D5B6" w14:textId="77777777" w:rsidR="00AE101A" w:rsidRPr="002A63BA" w:rsidRDefault="00AE101A" w:rsidP="00FF3EE4">
      <w:pPr>
        <w:pStyle w:val="N1"/>
      </w:pPr>
      <w:r w:rsidRPr="002A63BA">
        <w:t>SMART MOBILITY</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41CBF1A0" w14:textId="77777777" w:rsidTr="00FF3EE4">
        <w:tc>
          <w:tcPr>
            <w:tcW w:w="0" w:type="auto"/>
          </w:tcPr>
          <w:p w14:paraId="63B1902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Smart mobility</w:t>
            </w:r>
          </w:p>
        </w:tc>
        <w:tc>
          <w:tcPr>
            <w:tcW w:w="0" w:type="auto"/>
          </w:tcPr>
          <w:p w14:paraId="2DF48E6D"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1A08A60B"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58D6C18C"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7EF0C8AE" w14:textId="77777777" w:rsidTr="00FF3EE4">
        <w:tc>
          <w:tcPr>
            <w:tcW w:w="0" w:type="auto"/>
          </w:tcPr>
          <w:p w14:paraId="480151D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do not mind smart devices collecting and storing my data</w:t>
            </w:r>
          </w:p>
        </w:tc>
        <w:tc>
          <w:tcPr>
            <w:tcW w:w="0" w:type="auto"/>
          </w:tcPr>
          <w:p w14:paraId="75AD0F86"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2.5</w:t>
            </w:r>
          </w:p>
        </w:tc>
        <w:tc>
          <w:tcPr>
            <w:tcW w:w="0" w:type="auto"/>
          </w:tcPr>
          <w:p w14:paraId="0B397BE6"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2.5</w:t>
            </w:r>
          </w:p>
        </w:tc>
        <w:tc>
          <w:tcPr>
            <w:tcW w:w="0" w:type="auto"/>
          </w:tcPr>
          <w:p w14:paraId="3752CF8B"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2.5</w:t>
            </w:r>
          </w:p>
        </w:tc>
      </w:tr>
      <w:tr w:rsidR="00AE101A" w:rsidRPr="002A63BA" w14:paraId="2C75575E" w14:textId="77777777" w:rsidTr="00FF3EE4">
        <w:tc>
          <w:tcPr>
            <w:tcW w:w="0" w:type="auto"/>
          </w:tcPr>
          <w:p w14:paraId="764FBC7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be willing to share a larger amount of my data without the immediate expected mutual benefits</w:t>
            </w:r>
          </w:p>
        </w:tc>
        <w:tc>
          <w:tcPr>
            <w:tcW w:w="0" w:type="auto"/>
          </w:tcPr>
          <w:p w14:paraId="6BFDE171"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2.1</w:t>
            </w:r>
          </w:p>
        </w:tc>
        <w:tc>
          <w:tcPr>
            <w:tcW w:w="0" w:type="auto"/>
          </w:tcPr>
          <w:p w14:paraId="05BE9F85"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2.3</w:t>
            </w:r>
          </w:p>
        </w:tc>
        <w:tc>
          <w:tcPr>
            <w:tcW w:w="0" w:type="auto"/>
          </w:tcPr>
          <w:p w14:paraId="7CFA6158"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2.2</w:t>
            </w:r>
          </w:p>
        </w:tc>
      </w:tr>
      <w:tr w:rsidR="00AE101A" w:rsidRPr="002A63BA" w14:paraId="55E848F7" w14:textId="77777777" w:rsidTr="00FF3EE4">
        <w:tc>
          <w:tcPr>
            <w:tcW w:w="0" w:type="auto"/>
          </w:tcPr>
          <w:p w14:paraId="2CA5884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lastRenderedPageBreak/>
              <w:t>I would be willing to share a larger amount of my data if it meant raising the quality of life of the whole community</w:t>
            </w:r>
          </w:p>
        </w:tc>
        <w:tc>
          <w:tcPr>
            <w:tcW w:w="0" w:type="auto"/>
          </w:tcPr>
          <w:p w14:paraId="656A623C"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3.1</w:t>
            </w:r>
          </w:p>
        </w:tc>
        <w:tc>
          <w:tcPr>
            <w:tcW w:w="0" w:type="auto"/>
          </w:tcPr>
          <w:p w14:paraId="3D479274"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3.0</w:t>
            </w:r>
          </w:p>
        </w:tc>
        <w:tc>
          <w:tcPr>
            <w:tcW w:w="0" w:type="auto"/>
          </w:tcPr>
          <w:p w14:paraId="7DCA533D"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3.0</w:t>
            </w:r>
          </w:p>
        </w:tc>
      </w:tr>
      <w:tr w:rsidR="00AE101A" w:rsidRPr="002A63BA" w14:paraId="4CD08077" w14:textId="77777777" w:rsidTr="00FF3EE4">
        <w:tc>
          <w:tcPr>
            <w:tcW w:w="0" w:type="auto"/>
          </w:tcPr>
          <w:p w14:paraId="4B4404A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be willing to share a larger amount of my data if it meant a direct reduction in the cost of living, e.g., price of water, electricity, heating</w:t>
            </w:r>
          </w:p>
        </w:tc>
        <w:tc>
          <w:tcPr>
            <w:tcW w:w="0" w:type="auto"/>
          </w:tcPr>
          <w:p w14:paraId="0B74054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7CFABFD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c>
          <w:tcPr>
            <w:tcW w:w="0" w:type="auto"/>
          </w:tcPr>
          <w:p w14:paraId="3A9DA50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3.3</w:t>
            </w:r>
          </w:p>
        </w:tc>
      </w:tr>
      <w:tr w:rsidR="00AE101A" w:rsidRPr="002A63BA" w14:paraId="7E629126" w14:textId="77777777" w:rsidTr="00FF3EE4">
        <w:tc>
          <w:tcPr>
            <w:tcW w:w="0" w:type="auto"/>
          </w:tcPr>
          <w:p w14:paraId="75DD324A"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do not mind sharing information about my location</w:t>
            </w:r>
          </w:p>
        </w:tc>
        <w:tc>
          <w:tcPr>
            <w:tcW w:w="0" w:type="auto"/>
          </w:tcPr>
          <w:p w14:paraId="41DF31A6"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2.3</w:t>
            </w:r>
          </w:p>
        </w:tc>
        <w:tc>
          <w:tcPr>
            <w:tcW w:w="0" w:type="auto"/>
          </w:tcPr>
          <w:p w14:paraId="2A809562"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2.4</w:t>
            </w:r>
          </w:p>
        </w:tc>
        <w:tc>
          <w:tcPr>
            <w:tcW w:w="0" w:type="auto"/>
          </w:tcPr>
          <w:p w14:paraId="21EF8F8B"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2.3</w:t>
            </w:r>
          </w:p>
        </w:tc>
      </w:tr>
      <w:tr w:rsidR="00AE101A" w:rsidRPr="002A63BA" w14:paraId="3BEAA63D" w14:textId="77777777" w:rsidTr="00FF3EE4">
        <w:tc>
          <w:tcPr>
            <w:tcW w:w="0" w:type="auto"/>
          </w:tcPr>
          <w:p w14:paraId="26674DDA"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believe the government should be allowed to collect all personal data about citizens</w:t>
            </w:r>
          </w:p>
        </w:tc>
        <w:tc>
          <w:tcPr>
            <w:tcW w:w="0" w:type="auto"/>
          </w:tcPr>
          <w:p w14:paraId="64225F29" w14:textId="77777777" w:rsidR="00AE101A" w:rsidRPr="002A63BA" w:rsidRDefault="00AE101A" w:rsidP="00FF3EE4">
            <w:pPr>
              <w:spacing w:line="276" w:lineRule="auto"/>
              <w:rPr>
                <w:rFonts w:ascii="Open Sans" w:hAnsi="Open Sans" w:cs="Open Sans"/>
              </w:rPr>
            </w:pPr>
            <w:r w:rsidRPr="002A63BA">
              <w:rPr>
                <w:rFonts w:ascii="Open Sans" w:hAnsi="Open Sans" w:cs="Open Sans"/>
              </w:rPr>
              <w:t>1.9</w:t>
            </w:r>
          </w:p>
        </w:tc>
        <w:tc>
          <w:tcPr>
            <w:tcW w:w="0" w:type="auto"/>
          </w:tcPr>
          <w:p w14:paraId="15A9A63A"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2.3</w:t>
            </w:r>
          </w:p>
        </w:tc>
        <w:tc>
          <w:tcPr>
            <w:tcW w:w="0" w:type="auto"/>
          </w:tcPr>
          <w:p w14:paraId="285ABBFD"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2.1</w:t>
            </w:r>
          </w:p>
        </w:tc>
      </w:tr>
      <w:tr w:rsidR="00AE101A" w:rsidRPr="002A63BA" w14:paraId="34B2CB61" w14:textId="77777777" w:rsidTr="00FF3EE4">
        <w:tc>
          <w:tcPr>
            <w:tcW w:w="0" w:type="auto"/>
          </w:tcPr>
          <w:p w14:paraId="33F83705"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trust agencies and companies to keep my data safe and not exploit it</w:t>
            </w:r>
          </w:p>
        </w:tc>
        <w:tc>
          <w:tcPr>
            <w:tcW w:w="0" w:type="auto"/>
          </w:tcPr>
          <w:p w14:paraId="546391E2" w14:textId="77777777" w:rsidR="00AE101A" w:rsidRPr="002A63BA" w:rsidRDefault="00AE101A" w:rsidP="00FF3EE4">
            <w:pPr>
              <w:spacing w:line="276" w:lineRule="auto"/>
              <w:rPr>
                <w:rFonts w:ascii="Open Sans" w:hAnsi="Open Sans" w:cs="Open Sans"/>
              </w:rPr>
            </w:pPr>
            <w:r w:rsidRPr="002A63BA">
              <w:rPr>
                <w:rFonts w:ascii="Open Sans" w:hAnsi="Open Sans" w:cs="Open Sans"/>
              </w:rPr>
              <w:t>2.6</w:t>
            </w:r>
          </w:p>
        </w:tc>
        <w:tc>
          <w:tcPr>
            <w:tcW w:w="0" w:type="auto"/>
          </w:tcPr>
          <w:p w14:paraId="0AE0677E"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2.6</w:t>
            </w:r>
          </w:p>
        </w:tc>
        <w:tc>
          <w:tcPr>
            <w:tcW w:w="0" w:type="auto"/>
          </w:tcPr>
          <w:p w14:paraId="5DEEFED3"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2.6</w:t>
            </w:r>
          </w:p>
        </w:tc>
      </w:tr>
    </w:tbl>
    <w:p w14:paraId="4A312333" w14:textId="77777777" w:rsidR="00AE101A" w:rsidRPr="002A63BA" w:rsidRDefault="00AE101A" w:rsidP="00FF3EE4">
      <w:pPr>
        <w:spacing w:line="276" w:lineRule="auto"/>
        <w:rPr>
          <w:rFonts w:ascii="Open Sans" w:hAnsi="Open Sans" w:cs="Open Sans"/>
        </w:rPr>
      </w:pPr>
    </w:p>
    <w:p w14:paraId="5A2048FF"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Regarding the smart mobility, all respondents on average disagree slightly with smart mobility related issues, such as data collection and storage by smart devices, especially if without an immediate exchange of benefits. They also disagree with sharing their location and other personal data, either to the government or to agencies and companies. They are neutral regarding data sharing for the benefit of their community and agree slightly with sharing data in exchange for the reduction of their cost of living. Slovenes and Croats are quite similar in their perception of smart mobility. </w:t>
      </w:r>
    </w:p>
    <w:p w14:paraId="239D46F0" w14:textId="77777777" w:rsidR="00AE101A" w:rsidRPr="002A63BA" w:rsidRDefault="00AE101A" w:rsidP="00FF3EE4">
      <w:pPr>
        <w:pStyle w:val="N1"/>
      </w:pPr>
      <w:r w:rsidRPr="002A63BA">
        <w:t>ENVIRONMENTAL ISSUES WITH SMART CITIES</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3D6746E5" w14:textId="77777777" w:rsidTr="00FF3EE4">
        <w:tc>
          <w:tcPr>
            <w:tcW w:w="0" w:type="auto"/>
          </w:tcPr>
          <w:p w14:paraId="63B7390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sustainability</w:t>
            </w:r>
          </w:p>
        </w:tc>
        <w:tc>
          <w:tcPr>
            <w:tcW w:w="0" w:type="auto"/>
          </w:tcPr>
          <w:p w14:paraId="0713CB91"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1D751D1F"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30EADE84"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00E15D11" w14:textId="77777777" w:rsidTr="00FF3EE4">
        <w:tc>
          <w:tcPr>
            <w:tcW w:w="0" w:type="auto"/>
          </w:tcPr>
          <w:p w14:paraId="3E1789F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like the sustainable approach of smart cities</w:t>
            </w:r>
          </w:p>
        </w:tc>
        <w:tc>
          <w:tcPr>
            <w:tcW w:w="0" w:type="auto"/>
          </w:tcPr>
          <w:p w14:paraId="2814D393"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4.1</w:t>
            </w:r>
          </w:p>
        </w:tc>
        <w:tc>
          <w:tcPr>
            <w:tcW w:w="0" w:type="auto"/>
          </w:tcPr>
          <w:p w14:paraId="42057822"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3.7</w:t>
            </w:r>
          </w:p>
        </w:tc>
        <w:tc>
          <w:tcPr>
            <w:tcW w:w="0" w:type="auto"/>
          </w:tcPr>
          <w:p w14:paraId="66DE8000"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3.8</w:t>
            </w:r>
          </w:p>
        </w:tc>
      </w:tr>
      <w:tr w:rsidR="00AE101A" w:rsidRPr="002A63BA" w14:paraId="645A8B4B" w14:textId="77777777" w:rsidTr="00FF3EE4">
        <w:tc>
          <w:tcPr>
            <w:tcW w:w="0" w:type="auto"/>
          </w:tcPr>
          <w:p w14:paraId="60BBF93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live by sustainable principles</w:t>
            </w:r>
          </w:p>
        </w:tc>
        <w:tc>
          <w:tcPr>
            <w:tcW w:w="0" w:type="auto"/>
          </w:tcPr>
          <w:p w14:paraId="26549AF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3.7</w:t>
            </w:r>
          </w:p>
        </w:tc>
        <w:tc>
          <w:tcPr>
            <w:tcW w:w="0" w:type="auto"/>
          </w:tcPr>
          <w:p w14:paraId="16CA78F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7090214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r>
      <w:tr w:rsidR="00AE101A" w:rsidRPr="002A63BA" w14:paraId="2AF80079" w14:textId="77777777" w:rsidTr="00FF3EE4">
        <w:tc>
          <w:tcPr>
            <w:tcW w:w="0" w:type="auto"/>
          </w:tcPr>
          <w:p w14:paraId="009EB41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lastRenderedPageBreak/>
              <w:t>I try to pollute the environment as little as possible</w:t>
            </w:r>
          </w:p>
        </w:tc>
        <w:tc>
          <w:tcPr>
            <w:tcW w:w="0" w:type="auto"/>
          </w:tcPr>
          <w:p w14:paraId="636E67EF"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c>
          <w:tcPr>
            <w:tcW w:w="0" w:type="auto"/>
          </w:tcPr>
          <w:p w14:paraId="1D96166B"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4.1</w:t>
            </w:r>
          </w:p>
        </w:tc>
        <w:tc>
          <w:tcPr>
            <w:tcW w:w="0" w:type="auto"/>
          </w:tcPr>
          <w:p w14:paraId="21E6B69A"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r>
      <w:tr w:rsidR="00AE101A" w:rsidRPr="002A63BA" w14:paraId="24F30337" w14:textId="77777777" w:rsidTr="00FF3EE4">
        <w:tc>
          <w:tcPr>
            <w:tcW w:w="0" w:type="auto"/>
          </w:tcPr>
          <w:p w14:paraId="0736E33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use reusable bags</w:t>
            </w:r>
          </w:p>
        </w:tc>
        <w:tc>
          <w:tcPr>
            <w:tcW w:w="0" w:type="auto"/>
          </w:tcPr>
          <w:p w14:paraId="5FB7BD33"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c>
          <w:tcPr>
            <w:tcW w:w="0" w:type="auto"/>
          </w:tcPr>
          <w:p w14:paraId="26E22FE9"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3.9</w:t>
            </w:r>
          </w:p>
        </w:tc>
        <w:tc>
          <w:tcPr>
            <w:tcW w:w="0" w:type="auto"/>
          </w:tcPr>
          <w:p w14:paraId="4E54C414"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4.0</w:t>
            </w:r>
          </w:p>
        </w:tc>
      </w:tr>
      <w:tr w:rsidR="00AE101A" w:rsidRPr="002A63BA" w14:paraId="7E9E6B59" w14:textId="77777777" w:rsidTr="00FF3EE4">
        <w:tc>
          <w:tcPr>
            <w:tcW w:w="0" w:type="auto"/>
          </w:tcPr>
          <w:p w14:paraId="19CF278E"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recycle waste</w:t>
            </w:r>
          </w:p>
        </w:tc>
        <w:tc>
          <w:tcPr>
            <w:tcW w:w="0" w:type="auto"/>
          </w:tcPr>
          <w:p w14:paraId="3B2D2C82"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4.3</w:t>
            </w:r>
          </w:p>
        </w:tc>
        <w:tc>
          <w:tcPr>
            <w:tcW w:w="0" w:type="auto"/>
          </w:tcPr>
          <w:p w14:paraId="4F113A5D"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3.7</w:t>
            </w:r>
          </w:p>
        </w:tc>
        <w:tc>
          <w:tcPr>
            <w:tcW w:w="0" w:type="auto"/>
          </w:tcPr>
          <w:p w14:paraId="62F8D208" w14:textId="77777777" w:rsidR="00AE101A" w:rsidRPr="002A63BA" w:rsidRDefault="00AE101A" w:rsidP="00FF3EE4">
            <w:pPr>
              <w:spacing w:line="276" w:lineRule="auto"/>
              <w:rPr>
                <w:rFonts w:ascii="Open Sans" w:eastAsiaTheme="minorEastAsia" w:hAnsi="Open Sans" w:cs="Open Sans"/>
                <w:color w:val="70AD47" w:themeColor="accent6"/>
              </w:rPr>
            </w:pPr>
            <w:r w:rsidRPr="002A63BA">
              <w:rPr>
                <w:rFonts w:ascii="Open Sans" w:hAnsi="Open Sans" w:cs="Open Sans"/>
              </w:rPr>
              <w:t>3.9</w:t>
            </w:r>
          </w:p>
        </w:tc>
      </w:tr>
      <w:tr w:rsidR="00AE101A" w:rsidRPr="002A63BA" w14:paraId="1B9EB74E" w14:textId="77777777" w:rsidTr="00FF3EE4">
        <w:tc>
          <w:tcPr>
            <w:tcW w:w="0" w:type="auto"/>
          </w:tcPr>
          <w:p w14:paraId="1E892B7F"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try to avoid disposable products</w:t>
            </w:r>
          </w:p>
        </w:tc>
        <w:tc>
          <w:tcPr>
            <w:tcW w:w="0" w:type="auto"/>
          </w:tcPr>
          <w:p w14:paraId="0F566BD9" w14:textId="77777777" w:rsidR="00AE101A" w:rsidRPr="002A63BA" w:rsidRDefault="00AE101A" w:rsidP="00FF3EE4">
            <w:pPr>
              <w:spacing w:line="276" w:lineRule="auto"/>
              <w:rPr>
                <w:rFonts w:ascii="Open Sans" w:hAnsi="Open Sans" w:cs="Open Sans"/>
              </w:rPr>
            </w:pPr>
            <w:r w:rsidRPr="002A63BA">
              <w:rPr>
                <w:rFonts w:ascii="Open Sans" w:hAnsi="Open Sans" w:cs="Open Sans"/>
              </w:rPr>
              <w:t>3.6</w:t>
            </w:r>
          </w:p>
        </w:tc>
        <w:tc>
          <w:tcPr>
            <w:tcW w:w="0" w:type="auto"/>
          </w:tcPr>
          <w:p w14:paraId="01742CF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60EDBDFF"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3.5</w:t>
            </w:r>
          </w:p>
        </w:tc>
      </w:tr>
    </w:tbl>
    <w:p w14:paraId="32EAFE35" w14:textId="77777777" w:rsidR="00AE101A" w:rsidRPr="002A63BA" w:rsidRDefault="00AE101A" w:rsidP="00FF3EE4">
      <w:pPr>
        <w:autoSpaceDE w:val="0"/>
        <w:autoSpaceDN w:val="0"/>
        <w:adjustRightInd w:val="0"/>
        <w:spacing w:after="0" w:line="276" w:lineRule="auto"/>
        <w:jc w:val="left"/>
        <w:rPr>
          <w:rFonts w:ascii="Open Sans" w:hAnsi="Open Sans" w:cs="Open Sans"/>
          <w:lang w:val="sl-SI"/>
        </w:rPr>
      </w:pPr>
    </w:p>
    <w:p w14:paraId="7C270D0B" w14:textId="77777777" w:rsidR="00AE101A" w:rsidRPr="002A63BA" w:rsidRDefault="00AE101A" w:rsidP="00FF3EE4">
      <w:pPr>
        <w:autoSpaceDE w:val="0"/>
        <w:autoSpaceDN w:val="0"/>
        <w:adjustRightInd w:val="0"/>
        <w:spacing w:after="0" w:line="276" w:lineRule="auto"/>
        <w:rPr>
          <w:rFonts w:ascii="Open Sans" w:hAnsi="Open Sans" w:cs="Open Sans"/>
          <w:lang w:val="en-US"/>
        </w:rPr>
      </w:pPr>
      <w:r w:rsidRPr="002A63BA">
        <w:rPr>
          <w:rFonts w:ascii="Open Sans" w:hAnsi="Open Sans" w:cs="Open Sans"/>
          <w:lang w:val="en-US"/>
        </w:rPr>
        <w:t>Regarding environmental issues with smart cities, all respondents on average like the sustainable approach of smart cities and agree that they are trying to minimize their environmental footprint by using reusable bags, recycling waste, etc. They are also trying to avoid disposable products and live by sustainable principles, but to a lower degree. Slovenes are in general slightly more sustainable-oriented than Croats, especially in recycling waste and use of reusable bags.</w:t>
      </w:r>
    </w:p>
    <w:p w14:paraId="012C5E61" w14:textId="77777777" w:rsidR="00AE101A" w:rsidRPr="002A63BA" w:rsidRDefault="00AE101A" w:rsidP="00FF3EE4">
      <w:pPr>
        <w:autoSpaceDE w:val="0"/>
        <w:autoSpaceDN w:val="0"/>
        <w:adjustRightInd w:val="0"/>
        <w:spacing w:after="0" w:line="276" w:lineRule="auto"/>
        <w:rPr>
          <w:rFonts w:ascii="Open Sans" w:hAnsi="Open Sans" w:cs="Open Sans"/>
          <w:lang w:val="en-US"/>
        </w:rPr>
      </w:pP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33D89967" w14:textId="77777777" w:rsidTr="00FF3EE4">
        <w:tc>
          <w:tcPr>
            <w:tcW w:w="0" w:type="auto"/>
          </w:tcPr>
          <w:p w14:paraId="1E2D5AA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air pollution</w:t>
            </w:r>
          </w:p>
        </w:tc>
        <w:tc>
          <w:tcPr>
            <w:tcW w:w="0" w:type="auto"/>
          </w:tcPr>
          <w:p w14:paraId="4CFA661F"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3D2C88DE"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708B8775"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485853D4" w14:textId="77777777" w:rsidTr="00FF3EE4">
        <w:tc>
          <w:tcPr>
            <w:tcW w:w="0" w:type="auto"/>
          </w:tcPr>
          <w:p w14:paraId="1781CEA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aware of the issue of air pollution</w:t>
            </w:r>
          </w:p>
        </w:tc>
        <w:tc>
          <w:tcPr>
            <w:tcW w:w="0" w:type="auto"/>
          </w:tcPr>
          <w:p w14:paraId="69E2768C"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4.4</w:t>
            </w:r>
          </w:p>
        </w:tc>
        <w:tc>
          <w:tcPr>
            <w:tcW w:w="0" w:type="auto"/>
          </w:tcPr>
          <w:p w14:paraId="2FEABF70"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4.2</w:t>
            </w:r>
          </w:p>
        </w:tc>
        <w:tc>
          <w:tcPr>
            <w:tcW w:w="0" w:type="auto"/>
          </w:tcPr>
          <w:p w14:paraId="5BBEF8B6"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4.3</w:t>
            </w:r>
          </w:p>
        </w:tc>
      </w:tr>
      <w:tr w:rsidR="00AE101A" w:rsidRPr="002A63BA" w14:paraId="008551E9" w14:textId="77777777" w:rsidTr="00FF3EE4">
        <w:tc>
          <w:tcPr>
            <w:tcW w:w="0" w:type="auto"/>
          </w:tcPr>
          <w:p w14:paraId="7F94D39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personally aware when air pollution is high</w:t>
            </w:r>
          </w:p>
        </w:tc>
        <w:tc>
          <w:tcPr>
            <w:tcW w:w="0" w:type="auto"/>
          </w:tcPr>
          <w:p w14:paraId="0B853C91"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3.7</w:t>
            </w:r>
          </w:p>
        </w:tc>
        <w:tc>
          <w:tcPr>
            <w:tcW w:w="0" w:type="auto"/>
          </w:tcPr>
          <w:p w14:paraId="117146E4"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3.8</w:t>
            </w:r>
          </w:p>
        </w:tc>
        <w:tc>
          <w:tcPr>
            <w:tcW w:w="0" w:type="auto"/>
          </w:tcPr>
          <w:p w14:paraId="41B965DB"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3.8</w:t>
            </w:r>
          </w:p>
        </w:tc>
      </w:tr>
      <w:tr w:rsidR="00AE101A" w:rsidRPr="002A63BA" w14:paraId="034BDED1" w14:textId="77777777" w:rsidTr="00FF3EE4">
        <w:tc>
          <w:tcPr>
            <w:tcW w:w="0" w:type="auto"/>
          </w:tcPr>
          <w:p w14:paraId="15A418D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believe it is my duty to the environment to reduce air pollution</w:t>
            </w:r>
          </w:p>
        </w:tc>
        <w:tc>
          <w:tcPr>
            <w:tcW w:w="0" w:type="auto"/>
          </w:tcPr>
          <w:p w14:paraId="53597E44"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4.5</w:t>
            </w:r>
          </w:p>
        </w:tc>
        <w:tc>
          <w:tcPr>
            <w:tcW w:w="0" w:type="auto"/>
          </w:tcPr>
          <w:p w14:paraId="2B4DE8B5"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4.1</w:t>
            </w:r>
          </w:p>
        </w:tc>
        <w:tc>
          <w:tcPr>
            <w:tcW w:w="0" w:type="auto"/>
          </w:tcPr>
          <w:p w14:paraId="66E53C6C"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4.2</w:t>
            </w:r>
          </w:p>
        </w:tc>
      </w:tr>
      <w:tr w:rsidR="00AE101A" w:rsidRPr="002A63BA" w14:paraId="435321DE" w14:textId="77777777" w:rsidTr="00FF3EE4">
        <w:tc>
          <w:tcPr>
            <w:tcW w:w="0" w:type="auto"/>
          </w:tcPr>
          <w:p w14:paraId="10AFBAC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believe that my actions affect air pollution</w:t>
            </w:r>
          </w:p>
        </w:tc>
        <w:tc>
          <w:tcPr>
            <w:tcW w:w="0" w:type="auto"/>
          </w:tcPr>
          <w:p w14:paraId="409CA59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4.1</w:t>
            </w:r>
          </w:p>
        </w:tc>
        <w:tc>
          <w:tcPr>
            <w:tcW w:w="0" w:type="auto"/>
          </w:tcPr>
          <w:p w14:paraId="54890E5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3.8</w:t>
            </w:r>
          </w:p>
        </w:tc>
        <w:tc>
          <w:tcPr>
            <w:tcW w:w="0" w:type="auto"/>
          </w:tcPr>
          <w:p w14:paraId="28F7BE7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3.9</w:t>
            </w:r>
          </w:p>
        </w:tc>
      </w:tr>
      <w:tr w:rsidR="00AE101A" w:rsidRPr="002A63BA" w14:paraId="36264AD2" w14:textId="77777777" w:rsidTr="00FF3EE4">
        <w:tc>
          <w:tcPr>
            <w:tcW w:w="0" w:type="auto"/>
          </w:tcPr>
          <w:p w14:paraId="6747096D"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am aware that high levels of air pollution have an impact on human health</w:t>
            </w:r>
          </w:p>
        </w:tc>
        <w:tc>
          <w:tcPr>
            <w:tcW w:w="0" w:type="auto"/>
          </w:tcPr>
          <w:p w14:paraId="2B419B40"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4.5</w:t>
            </w:r>
          </w:p>
        </w:tc>
        <w:tc>
          <w:tcPr>
            <w:tcW w:w="0" w:type="auto"/>
          </w:tcPr>
          <w:p w14:paraId="0EEDBB5F"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4.3</w:t>
            </w:r>
          </w:p>
        </w:tc>
        <w:tc>
          <w:tcPr>
            <w:tcW w:w="0" w:type="auto"/>
          </w:tcPr>
          <w:p w14:paraId="5139EC2D" w14:textId="77777777" w:rsidR="00AE101A" w:rsidRPr="002A63BA" w:rsidRDefault="00AE101A" w:rsidP="00FF3EE4">
            <w:pPr>
              <w:spacing w:line="276" w:lineRule="auto"/>
              <w:rPr>
                <w:rFonts w:ascii="Open Sans" w:eastAsiaTheme="minorEastAsia" w:hAnsi="Open Sans" w:cs="Open Sans"/>
                <w:b/>
                <w:bCs/>
                <w:color w:val="70AD47" w:themeColor="accent6"/>
              </w:rPr>
            </w:pPr>
            <w:r w:rsidRPr="002A63BA">
              <w:rPr>
                <w:rFonts w:ascii="Open Sans" w:hAnsi="Open Sans" w:cs="Open Sans"/>
              </w:rPr>
              <w:t>4.4</w:t>
            </w:r>
          </w:p>
        </w:tc>
      </w:tr>
      <w:tr w:rsidR="00AE101A" w:rsidRPr="002A63BA" w14:paraId="335C7A23" w14:textId="77777777" w:rsidTr="00FF3EE4">
        <w:tc>
          <w:tcPr>
            <w:tcW w:w="0" w:type="auto"/>
          </w:tcPr>
          <w:p w14:paraId="76113746"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When I decide to buy a long-term useful item, I try to look for alternatives that can save on energy consumption</w:t>
            </w:r>
          </w:p>
        </w:tc>
        <w:tc>
          <w:tcPr>
            <w:tcW w:w="0" w:type="auto"/>
          </w:tcPr>
          <w:p w14:paraId="0D82623B" w14:textId="77777777" w:rsidR="00AE101A" w:rsidRPr="002A63BA" w:rsidRDefault="00AE101A" w:rsidP="00FF3EE4">
            <w:pPr>
              <w:spacing w:line="276" w:lineRule="auto"/>
              <w:rPr>
                <w:rFonts w:ascii="Open Sans" w:hAnsi="Open Sans" w:cs="Open Sans"/>
              </w:rPr>
            </w:pPr>
            <w:r w:rsidRPr="002A63BA">
              <w:rPr>
                <w:rFonts w:ascii="Open Sans" w:hAnsi="Open Sans" w:cs="Open Sans"/>
              </w:rPr>
              <w:t>3.5</w:t>
            </w:r>
          </w:p>
        </w:tc>
        <w:tc>
          <w:tcPr>
            <w:tcW w:w="0" w:type="auto"/>
          </w:tcPr>
          <w:p w14:paraId="5DFF3731"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3.6</w:t>
            </w:r>
          </w:p>
        </w:tc>
        <w:tc>
          <w:tcPr>
            <w:tcW w:w="0" w:type="auto"/>
          </w:tcPr>
          <w:p w14:paraId="22F530C3"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3.5</w:t>
            </w:r>
          </w:p>
        </w:tc>
      </w:tr>
      <w:tr w:rsidR="00AE101A" w:rsidRPr="002A63BA" w14:paraId="0AF956A7" w14:textId="77777777" w:rsidTr="00FF3EE4">
        <w:tc>
          <w:tcPr>
            <w:tcW w:w="0" w:type="auto"/>
          </w:tcPr>
          <w:p w14:paraId="7DC66D9F" w14:textId="77777777" w:rsidR="00AE101A" w:rsidRPr="002A63BA" w:rsidRDefault="00AE101A" w:rsidP="00FF3EE4">
            <w:pPr>
              <w:spacing w:line="276" w:lineRule="auto"/>
              <w:rPr>
                <w:rFonts w:ascii="Open Sans" w:hAnsi="Open Sans" w:cs="Open Sans"/>
              </w:rPr>
            </w:pPr>
            <w:r w:rsidRPr="002A63BA">
              <w:rPr>
                <w:rFonts w:ascii="Open Sans" w:hAnsi="Open Sans" w:cs="Open Sans"/>
              </w:rPr>
              <w:t>When I decide to buy a long-term useful item, I try to look for alternatives that contribute to sustainable development</w:t>
            </w:r>
          </w:p>
        </w:tc>
        <w:tc>
          <w:tcPr>
            <w:tcW w:w="0" w:type="auto"/>
          </w:tcPr>
          <w:p w14:paraId="406875F5" w14:textId="77777777" w:rsidR="00AE101A" w:rsidRPr="002A63BA" w:rsidRDefault="00AE101A" w:rsidP="00FF3EE4">
            <w:pPr>
              <w:spacing w:line="276" w:lineRule="auto"/>
              <w:rPr>
                <w:rFonts w:ascii="Open Sans" w:hAnsi="Open Sans" w:cs="Open Sans"/>
              </w:rPr>
            </w:pPr>
            <w:r w:rsidRPr="002A63BA">
              <w:rPr>
                <w:rFonts w:ascii="Open Sans" w:hAnsi="Open Sans" w:cs="Open Sans"/>
              </w:rPr>
              <w:t>3.6</w:t>
            </w:r>
          </w:p>
        </w:tc>
        <w:tc>
          <w:tcPr>
            <w:tcW w:w="0" w:type="auto"/>
          </w:tcPr>
          <w:p w14:paraId="028201F6"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3.5</w:t>
            </w:r>
          </w:p>
        </w:tc>
        <w:tc>
          <w:tcPr>
            <w:tcW w:w="0" w:type="auto"/>
          </w:tcPr>
          <w:p w14:paraId="5091F88F" w14:textId="77777777" w:rsidR="00AE101A" w:rsidRPr="002A63BA" w:rsidRDefault="00AE101A" w:rsidP="00FF3EE4">
            <w:pPr>
              <w:spacing w:line="276" w:lineRule="auto"/>
              <w:rPr>
                <w:rFonts w:ascii="Open Sans" w:hAnsi="Open Sans" w:cs="Open Sans"/>
              </w:rPr>
            </w:pPr>
            <w:r w:rsidRPr="002A63BA">
              <w:rPr>
                <w:rFonts w:ascii="Open Sans" w:hAnsi="Open Sans" w:cs="Open Sans"/>
              </w:rPr>
              <w:t>3.5</w:t>
            </w:r>
          </w:p>
        </w:tc>
      </w:tr>
    </w:tbl>
    <w:p w14:paraId="1A7E00D7" w14:textId="77777777" w:rsidR="00AE101A" w:rsidRPr="002A63BA" w:rsidRDefault="00AE101A" w:rsidP="00FF3EE4">
      <w:pPr>
        <w:spacing w:line="276" w:lineRule="auto"/>
        <w:rPr>
          <w:rFonts w:ascii="Open Sans" w:hAnsi="Open Sans" w:cs="Open Sans"/>
        </w:rPr>
      </w:pPr>
    </w:p>
    <w:p w14:paraId="6EF2E61C" w14:textId="77777777" w:rsidR="00AE101A" w:rsidRPr="002A63BA" w:rsidRDefault="00AE101A" w:rsidP="00FF3EE4">
      <w:pPr>
        <w:spacing w:line="276" w:lineRule="auto"/>
        <w:rPr>
          <w:rFonts w:ascii="Open Sans" w:hAnsi="Open Sans" w:cs="Open Sans"/>
        </w:rPr>
      </w:pPr>
      <w:r w:rsidRPr="002A63BA">
        <w:rPr>
          <w:rFonts w:ascii="Open Sans" w:hAnsi="Open Sans" w:cs="Open Sans"/>
        </w:rPr>
        <w:lastRenderedPageBreak/>
        <w:t xml:space="preserve">Regarding air pollution in smart cities, all respondents on average are well aware of the air pollution issue and its impact on human health. They sense quite well when air pollution is high. Moreover, they strongly believe that their actions affect air pollution and is therefore also their duty to reduce it. Nevertheless, they do not always decide to buy more sustainable long-term useful items or alternatives that save on environment consumption, although they do not disagree with it. Slovenes feel a slightly bigger obligation to the environment to reduce air pollution than Croats, but they are otherwise quite similar in their attitudes. </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39F11FDF" w14:textId="77777777" w:rsidTr="00FF3EE4">
        <w:tc>
          <w:tcPr>
            <w:tcW w:w="0" w:type="auto"/>
          </w:tcPr>
          <w:p w14:paraId="7772AE3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perception on the impact of smart cities on sustainability</w:t>
            </w:r>
          </w:p>
        </w:tc>
        <w:tc>
          <w:tcPr>
            <w:tcW w:w="0" w:type="auto"/>
          </w:tcPr>
          <w:p w14:paraId="059353EC"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00073EA8"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30FB762B"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31C6F224" w14:textId="77777777" w:rsidTr="00FF3EE4">
        <w:tc>
          <w:tcPr>
            <w:tcW w:w="0" w:type="auto"/>
          </w:tcPr>
          <w:p w14:paraId="726083B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Smart cities help to prevent air pollution</w:t>
            </w:r>
          </w:p>
        </w:tc>
        <w:tc>
          <w:tcPr>
            <w:tcW w:w="0" w:type="auto"/>
          </w:tcPr>
          <w:p w14:paraId="7BAA6EFA"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3.7</w:t>
            </w:r>
          </w:p>
        </w:tc>
        <w:tc>
          <w:tcPr>
            <w:tcW w:w="0" w:type="auto"/>
          </w:tcPr>
          <w:p w14:paraId="54706920"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777DD7A6"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3.6</w:t>
            </w:r>
          </w:p>
        </w:tc>
      </w:tr>
      <w:tr w:rsidR="00AE101A" w:rsidRPr="002A63BA" w14:paraId="3AF547CA" w14:textId="77777777" w:rsidTr="00FF3EE4">
        <w:tc>
          <w:tcPr>
            <w:tcW w:w="0" w:type="auto"/>
          </w:tcPr>
          <w:p w14:paraId="38442C3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Smart cities help to prevent climate change</w:t>
            </w:r>
          </w:p>
        </w:tc>
        <w:tc>
          <w:tcPr>
            <w:tcW w:w="0" w:type="auto"/>
          </w:tcPr>
          <w:p w14:paraId="2A610B5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67FD5F93"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c>
          <w:tcPr>
            <w:tcW w:w="0" w:type="auto"/>
          </w:tcPr>
          <w:p w14:paraId="7E48691C"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r>
      <w:tr w:rsidR="00AE101A" w:rsidRPr="002A63BA" w14:paraId="71FFA7A3" w14:textId="77777777" w:rsidTr="00FF3EE4">
        <w:tc>
          <w:tcPr>
            <w:tcW w:w="0" w:type="auto"/>
          </w:tcPr>
          <w:p w14:paraId="6ECFEA8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Smart cities help to prevent excessive water use</w:t>
            </w:r>
          </w:p>
        </w:tc>
        <w:tc>
          <w:tcPr>
            <w:tcW w:w="0" w:type="auto"/>
          </w:tcPr>
          <w:p w14:paraId="3964DDDD"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3.8</w:t>
            </w:r>
          </w:p>
        </w:tc>
        <w:tc>
          <w:tcPr>
            <w:tcW w:w="0" w:type="auto"/>
          </w:tcPr>
          <w:p w14:paraId="6DA03056"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356B5744"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3.6</w:t>
            </w:r>
          </w:p>
        </w:tc>
      </w:tr>
      <w:tr w:rsidR="00AE101A" w:rsidRPr="002A63BA" w14:paraId="5422A65D" w14:textId="77777777" w:rsidTr="00FF3EE4">
        <w:tc>
          <w:tcPr>
            <w:tcW w:w="0" w:type="auto"/>
          </w:tcPr>
          <w:p w14:paraId="77CF138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Smart cities reduce energy consumption</w:t>
            </w:r>
          </w:p>
        </w:tc>
        <w:tc>
          <w:tcPr>
            <w:tcW w:w="0" w:type="auto"/>
          </w:tcPr>
          <w:p w14:paraId="5E2DBB1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3.7</w:t>
            </w:r>
          </w:p>
        </w:tc>
        <w:tc>
          <w:tcPr>
            <w:tcW w:w="0" w:type="auto"/>
          </w:tcPr>
          <w:p w14:paraId="1B6F94D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22ACA42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r>
    </w:tbl>
    <w:p w14:paraId="50552616" w14:textId="77777777" w:rsidR="00AE101A" w:rsidRPr="002A63BA" w:rsidRDefault="00AE101A" w:rsidP="00FF3EE4">
      <w:pPr>
        <w:spacing w:line="276" w:lineRule="auto"/>
        <w:rPr>
          <w:rFonts w:ascii="Open Sans" w:hAnsi="Open Sans" w:cs="Open Sans"/>
        </w:rPr>
      </w:pPr>
    </w:p>
    <w:p w14:paraId="6DA2EDD6" w14:textId="77777777" w:rsidR="00AE101A" w:rsidRPr="002A63BA" w:rsidRDefault="00AE101A" w:rsidP="00FF3EE4">
      <w:pPr>
        <w:spacing w:line="276" w:lineRule="auto"/>
        <w:rPr>
          <w:rFonts w:ascii="Open Sans" w:hAnsi="Open Sans" w:cs="Open Sans"/>
        </w:rPr>
      </w:pPr>
      <w:r w:rsidRPr="002A63BA">
        <w:rPr>
          <w:rFonts w:ascii="Open Sans" w:hAnsi="Open Sans" w:cs="Open Sans"/>
        </w:rPr>
        <w:t>Regarding the smart city influence on sustainability, all respondents on average agree slightly that smart cities help to prevent air pollution, climate change, excessive water use and reduce energy consumption. Slovenes agree with it slightly more than Croats.</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3EB1D516" w14:textId="77777777" w:rsidTr="00FF3EE4">
        <w:tc>
          <w:tcPr>
            <w:tcW w:w="0" w:type="auto"/>
          </w:tcPr>
          <w:p w14:paraId="1E8B0E6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perception of air pollution sensors</w:t>
            </w:r>
          </w:p>
        </w:tc>
        <w:tc>
          <w:tcPr>
            <w:tcW w:w="0" w:type="auto"/>
          </w:tcPr>
          <w:p w14:paraId="57B42902"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35961648"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59E198DA"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7C12774D" w14:textId="77777777" w:rsidTr="00FF3EE4">
        <w:tc>
          <w:tcPr>
            <w:tcW w:w="0" w:type="auto"/>
          </w:tcPr>
          <w:p w14:paraId="47488A6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expect air pollution sensors to work well</w:t>
            </w:r>
          </w:p>
        </w:tc>
        <w:tc>
          <w:tcPr>
            <w:tcW w:w="0" w:type="auto"/>
          </w:tcPr>
          <w:p w14:paraId="44F364D8"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3.9</w:t>
            </w:r>
          </w:p>
        </w:tc>
        <w:tc>
          <w:tcPr>
            <w:tcW w:w="0" w:type="auto"/>
          </w:tcPr>
          <w:p w14:paraId="487085DD"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3.9</w:t>
            </w:r>
          </w:p>
        </w:tc>
        <w:tc>
          <w:tcPr>
            <w:tcW w:w="0" w:type="auto"/>
          </w:tcPr>
          <w:p w14:paraId="1FCC4F7F"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3.9</w:t>
            </w:r>
          </w:p>
        </w:tc>
      </w:tr>
      <w:tr w:rsidR="00AE101A" w:rsidRPr="002A63BA" w14:paraId="1295E3AB" w14:textId="77777777" w:rsidTr="00FF3EE4">
        <w:tc>
          <w:tcPr>
            <w:tcW w:w="0" w:type="auto"/>
          </w:tcPr>
          <w:p w14:paraId="6B77BFB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understand the information provided by air pollution sensors</w:t>
            </w:r>
          </w:p>
        </w:tc>
        <w:tc>
          <w:tcPr>
            <w:tcW w:w="0" w:type="auto"/>
          </w:tcPr>
          <w:p w14:paraId="6C024A9C"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3.2</w:t>
            </w:r>
          </w:p>
        </w:tc>
        <w:tc>
          <w:tcPr>
            <w:tcW w:w="0" w:type="auto"/>
          </w:tcPr>
          <w:p w14:paraId="2EF52401"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3.4</w:t>
            </w:r>
          </w:p>
        </w:tc>
        <w:tc>
          <w:tcPr>
            <w:tcW w:w="0" w:type="auto"/>
          </w:tcPr>
          <w:p w14:paraId="0D731268"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3.3</w:t>
            </w:r>
          </w:p>
        </w:tc>
      </w:tr>
      <w:tr w:rsidR="00AE101A" w:rsidRPr="002A63BA" w14:paraId="618C3D9D" w14:textId="77777777" w:rsidTr="00FF3EE4">
        <w:tc>
          <w:tcPr>
            <w:tcW w:w="0" w:type="auto"/>
          </w:tcPr>
          <w:p w14:paraId="1B4BE05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trust the information from the sensors is accurate</w:t>
            </w:r>
          </w:p>
        </w:tc>
        <w:tc>
          <w:tcPr>
            <w:tcW w:w="0" w:type="auto"/>
          </w:tcPr>
          <w:p w14:paraId="48E9BBC0"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3.6</w:t>
            </w:r>
          </w:p>
        </w:tc>
        <w:tc>
          <w:tcPr>
            <w:tcW w:w="0" w:type="auto"/>
          </w:tcPr>
          <w:p w14:paraId="49D4884B"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3.5</w:t>
            </w:r>
          </w:p>
        </w:tc>
        <w:tc>
          <w:tcPr>
            <w:tcW w:w="0" w:type="auto"/>
          </w:tcPr>
          <w:p w14:paraId="797D9363"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3.5</w:t>
            </w:r>
          </w:p>
        </w:tc>
      </w:tr>
      <w:tr w:rsidR="00AE101A" w:rsidRPr="002A63BA" w14:paraId="605C929F" w14:textId="77777777" w:rsidTr="00FF3EE4">
        <w:tc>
          <w:tcPr>
            <w:tcW w:w="0" w:type="auto"/>
          </w:tcPr>
          <w:p w14:paraId="5C24AB9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trust the information from the sensors is reliable</w:t>
            </w:r>
          </w:p>
        </w:tc>
        <w:tc>
          <w:tcPr>
            <w:tcW w:w="0" w:type="auto"/>
          </w:tcPr>
          <w:p w14:paraId="05D7ADD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c>
          <w:tcPr>
            <w:tcW w:w="0" w:type="auto"/>
          </w:tcPr>
          <w:p w14:paraId="3E35508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1E5FE83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r>
      <w:tr w:rsidR="00AE101A" w:rsidRPr="002A63BA" w14:paraId="1AD01510" w14:textId="77777777" w:rsidTr="00FF3EE4">
        <w:tc>
          <w:tcPr>
            <w:tcW w:w="0" w:type="auto"/>
          </w:tcPr>
          <w:p w14:paraId="5A71B547"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lastRenderedPageBreak/>
              <w:t>I would use sensors for measuring air quality, humidity and carbon monoxide in the household</w:t>
            </w:r>
          </w:p>
        </w:tc>
        <w:tc>
          <w:tcPr>
            <w:tcW w:w="0" w:type="auto"/>
          </w:tcPr>
          <w:p w14:paraId="574444A0"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3.8</w:t>
            </w:r>
          </w:p>
        </w:tc>
        <w:tc>
          <w:tcPr>
            <w:tcW w:w="0" w:type="auto"/>
          </w:tcPr>
          <w:p w14:paraId="7109942D" w14:textId="77777777" w:rsidR="00AE101A" w:rsidRPr="002A63BA" w:rsidRDefault="00AE101A" w:rsidP="00FF3EE4">
            <w:pPr>
              <w:spacing w:line="276" w:lineRule="auto"/>
              <w:rPr>
                <w:rFonts w:ascii="Open Sans" w:eastAsia="Calibri" w:hAnsi="Open Sans" w:cs="Open Sans"/>
                <w:b/>
                <w:bCs/>
                <w:color w:val="70AD47" w:themeColor="accent6"/>
              </w:rPr>
            </w:pPr>
            <w:r w:rsidRPr="002A63BA">
              <w:rPr>
                <w:rFonts w:ascii="Open Sans" w:hAnsi="Open Sans" w:cs="Open Sans"/>
              </w:rPr>
              <w:t>3.6</w:t>
            </w:r>
          </w:p>
        </w:tc>
        <w:tc>
          <w:tcPr>
            <w:tcW w:w="0" w:type="auto"/>
          </w:tcPr>
          <w:p w14:paraId="17866B53" w14:textId="77777777" w:rsidR="00AE101A" w:rsidRPr="002A63BA" w:rsidRDefault="00AE101A" w:rsidP="00FF3EE4">
            <w:pPr>
              <w:spacing w:line="276" w:lineRule="auto"/>
              <w:rPr>
                <w:rFonts w:ascii="Open Sans" w:eastAsiaTheme="minorEastAsia" w:hAnsi="Open Sans" w:cs="Open Sans"/>
                <w:b/>
                <w:bCs/>
                <w:color w:val="70AD47" w:themeColor="accent6"/>
              </w:rPr>
            </w:pPr>
            <w:r w:rsidRPr="002A63BA">
              <w:rPr>
                <w:rFonts w:ascii="Open Sans" w:hAnsi="Open Sans" w:cs="Open Sans"/>
              </w:rPr>
              <w:t>3.7</w:t>
            </w:r>
          </w:p>
        </w:tc>
      </w:tr>
      <w:tr w:rsidR="00AE101A" w:rsidRPr="002A63BA" w14:paraId="2E8EEB0B" w14:textId="77777777" w:rsidTr="00FF3EE4">
        <w:tc>
          <w:tcPr>
            <w:tcW w:w="0" w:type="auto"/>
          </w:tcPr>
          <w:p w14:paraId="3BC4CC59"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would use sensors for measuring air quality, humidity and carbon monoxide in the household even if the data was recorded</w:t>
            </w:r>
          </w:p>
        </w:tc>
        <w:tc>
          <w:tcPr>
            <w:tcW w:w="0" w:type="auto"/>
          </w:tcPr>
          <w:p w14:paraId="07E03B64" w14:textId="77777777" w:rsidR="00AE101A" w:rsidRPr="002A63BA" w:rsidRDefault="00AE101A" w:rsidP="00FF3EE4">
            <w:pPr>
              <w:spacing w:line="276" w:lineRule="auto"/>
              <w:rPr>
                <w:rFonts w:ascii="Open Sans" w:hAnsi="Open Sans" w:cs="Open Sans"/>
              </w:rPr>
            </w:pPr>
            <w:r w:rsidRPr="002A63BA">
              <w:rPr>
                <w:rFonts w:ascii="Open Sans" w:hAnsi="Open Sans" w:cs="Open Sans"/>
              </w:rPr>
              <w:t>3.6</w:t>
            </w:r>
          </w:p>
        </w:tc>
        <w:tc>
          <w:tcPr>
            <w:tcW w:w="0" w:type="auto"/>
          </w:tcPr>
          <w:p w14:paraId="405322A0"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3.3</w:t>
            </w:r>
          </w:p>
        </w:tc>
        <w:tc>
          <w:tcPr>
            <w:tcW w:w="0" w:type="auto"/>
          </w:tcPr>
          <w:p w14:paraId="50642FE9"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3.5</w:t>
            </w:r>
          </w:p>
        </w:tc>
      </w:tr>
    </w:tbl>
    <w:p w14:paraId="3BDBBFF7" w14:textId="77777777" w:rsidR="00AE101A" w:rsidRPr="002A63BA" w:rsidRDefault="00AE101A" w:rsidP="00FF3EE4">
      <w:pPr>
        <w:spacing w:line="276" w:lineRule="auto"/>
        <w:rPr>
          <w:rFonts w:ascii="Open Sans" w:hAnsi="Open Sans" w:cs="Open Sans"/>
        </w:rPr>
      </w:pPr>
    </w:p>
    <w:p w14:paraId="78603EB1" w14:textId="77777777" w:rsidR="00AE101A" w:rsidRPr="002A63BA" w:rsidRDefault="00AE101A" w:rsidP="00FF3EE4">
      <w:pPr>
        <w:spacing w:line="276" w:lineRule="auto"/>
        <w:rPr>
          <w:rFonts w:ascii="Open Sans" w:hAnsi="Open Sans" w:cs="Open Sans"/>
        </w:rPr>
      </w:pPr>
      <w:r w:rsidRPr="002A63BA">
        <w:rPr>
          <w:rFonts w:ascii="Open Sans" w:hAnsi="Open Sans" w:cs="Open Sans"/>
        </w:rPr>
        <w:t>Regarding air pollution sensors, all respondents on average expect air pollution sensors to work well for measuring air quality, humidity, and carbon monoxide in households, but do not understand or trust the information form sensors that well. They also do not agree strongly with collection of data from sensors. Nevertheless, they do not disagree with it. Slovenes and Croats are quite similar in their perception of this.</w:t>
      </w:r>
    </w:p>
    <w:p w14:paraId="1F5215F2" w14:textId="77777777" w:rsidR="00AE101A" w:rsidRPr="002A63BA" w:rsidRDefault="00AE101A" w:rsidP="00FF3EE4">
      <w:pPr>
        <w:spacing w:line="276" w:lineRule="auto"/>
        <w:rPr>
          <w:rFonts w:ascii="Open Sans" w:hAnsi="Open Sans" w:cs="Open Sans"/>
          <w:b/>
          <w:bCs/>
        </w:rPr>
      </w:pPr>
      <w:r w:rsidRPr="002A63BA">
        <w:rPr>
          <w:rFonts w:ascii="Open Sans" w:hAnsi="Open Sans" w:cs="Open Sans"/>
          <w:b/>
          <w:bCs/>
        </w:rPr>
        <w:t>Influence of environmental issues on individual behaviour</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07240A2A" w14:textId="77777777" w:rsidTr="00FF3EE4">
        <w:tc>
          <w:tcPr>
            <w:tcW w:w="0" w:type="auto"/>
          </w:tcPr>
          <w:p w14:paraId="2B20B25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beliefs about air pollution sensors use in their neighbourhoods</w:t>
            </w:r>
          </w:p>
        </w:tc>
        <w:tc>
          <w:tcPr>
            <w:tcW w:w="0" w:type="auto"/>
          </w:tcPr>
          <w:p w14:paraId="20659941"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74B5258E"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646EBBB5"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3AAEFFCF" w14:textId="77777777" w:rsidTr="00FF3EE4">
        <w:tc>
          <w:tcPr>
            <w:tcW w:w="0" w:type="auto"/>
          </w:tcPr>
          <w:p w14:paraId="0CA6A6F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believe having a personal air pollution sensor will improve my neighbourhood</w:t>
            </w:r>
          </w:p>
        </w:tc>
        <w:tc>
          <w:tcPr>
            <w:tcW w:w="0" w:type="auto"/>
          </w:tcPr>
          <w:p w14:paraId="705FB33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226BE169"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1FB3401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r>
      <w:tr w:rsidR="00AE101A" w:rsidRPr="002A63BA" w14:paraId="3C41BBEF" w14:textId="77777777" w:rsidTr="00FF3EE4">
        <w:tc>
          <w:tcPr>
            <w:tcW w:w="0" w:type="auto"/>
          </w:tcPr>
          <w:p w14:paraId="6698844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believe everyone in my neighbourhood should have a personal air pollution sensor</w:t>
            </w:r>
          </w:p>
        </w:tc>
        <w:tc>
          <w:tcPr>
            <w:tcW w:w="0" w:type="auto"/>
          </w:tcPr>
          <w:p w14:paraId="0417C76E"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3.2</w:t>
            </w:r>
          </w:p>
        </w:tc>
        <w:tc>
          <w:tcPr>
            <w:tcW w:w="0" w:type="auto"/>
          </w:tcPr>
          <w:p w14:paraId="1F4A7173"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c>
          <w:tcPr>
            <w:tcW w:w="0" w:type="auto"/>
          </w:tcPr>
          <w:p w14:paraId="05EEFBE2"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r>
      <w:tr w:rsidR="00AE101A" w:rsidRPr="002A63BA" w14:paraId="5F7BB9D2" w14:textId="77777777" w:rsidTr="00FF3EE4">
        <w:tc>
          <w:tcPr>
            <w:tcW w:w="0" w:type="auto"/>
          </w:tcPr>
          <w:p w14:paraId="40D3877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believe high pollution in my neighbourhood will change my attitude towards my neighbourhood</w:t>
            </w:r>
          </w:p>
        </w:tc>
        <w:tc>
          <w:tcPr>
            <w:tcW w:w="0" w:type="auto"/>
          </w:tcPr>
          <w:p w14:paraId="0E005FDC" w14:textId="77777777" w:rsidR="00AE101A" w:rsidRPr="002A63BA" w:rsidRDefault="00AE101A" w:rsidP="00FF3EE4">
            <w:pPr>
              <w:spacing w:line="276" w:lineRule="auto"/>
              <w:rPr>
                <w:rFonts w:ascii="Open Sans" w:hAnsi="Open Sans" w:cs="Open Sans"/>
              </w:rPr>
            </w:pPr>
            <w:r w:rsidRPr="002A63BA">
              <w:rPr>
                <w:rFonts w:ascii="Open Sans" w:hAnsi="Open Sans" w:cs="Open Sans"/>
              </w:rPr>
              <w:t>3.6</w:t>
            </w:r>
          </w:p>
        </w:tc>
        <w:tc>
          <w:tcPr>
            <w:tcW w:w="0" w:type="auto"/>
          </w:tcPr>
          <w:p w14:paraId="3F6A31E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6809EAA5"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r>
      <w:tr w:rsidR="00AE101A" w:rsidRPr="002A63BA" w14:paraId="22D83529" w14:textId="77777777" w:rsidTr="00FF3EE4">
        <w:tc>
          <w:tcPr>
            <w:tcW w:w="0" w:type="auto"/>
          </w:tcPr>
          <w:p w14:paraId="28948D2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will be motivated to consider information from the air pollution sensors while planning my activities in my neighbourhood</w:t>
            </w:r>
          </w:p>
        </w:tc>
        <w:tc>
          <w:tcPr>
            <w:tcW w:w="0" w:type="auto"/>
          </w:tcPr>
          <w:p w14:paraId="65F6C45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c>
          <w:tcPr>
            <w:tcW w:w="0" w:type="auto"/>
          </w:tcPr>
          <w:p w14:paraId="46D61A0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1EB1B77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r>
      <w:tr w:rsidR="00AE101A" w:rsidRPr="002A63BA" w14:paraId="63BACDD2" w14:textId="77777777" w:rsidTr="00FF3EE4">
        <w:tc>
          <w:tcPr>
            <w:tcW w:w="0" w:type="auto"/>
          </w:tcPr>
          <w:p w14:paraId="5B7C3312"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believe that I would report my neighbours if they were polluting</w:t>
            </w:r>
          </w:p>
        </w:tc>
        <w:tc>
          <w:tcPr>
            <w:tcW w:w="0" w:type="auto"/>
          </w:tcPr>
          <w:p w14:paraId="46C016D3"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2.7</w:t>
            </w:r>
          </w:p>
        </w:tc>
        <w:tc>
          <w:tcPr>
            <w:tcW w:w="0" w:type="auto"/>
          </w:tcPr>
          <w:p w14:paraId="52387BF6"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3.2</w:t>
            </w:r>
          </w:p>
        </w:tc>
        <w:tc>
          <w:tcPr>
            <w:tcW w:w="0" w:type="auto"/>
          </w:tcPr>
          <w:p w14:paraId="5BF86801" w14:textId="77777777" w:rsidR="00AE101A" w:rsidRPr="002A63BA" w:rsidRDefault="00AE101A" w:rsidP="00FF3EE4">
            <w:pPr>
              <w:spacing w:line="276" w:lineRule="auto"/>
              <w:rPr>
                <w:rFonts w:ascii="Open Sans" w:eastAsiaTheme="minorEastAsia" w:hAnsi="Open Sans" w:cs="Open Sans"/>
                <w:b/>
                <w:bCs/>
              </w:rPr>
            </w:pPr>
            <w:r w:rsidRPr="002A63BA">
              <w:rPr>
                <w:rFonts w:ascii="Open Sans" w:hAnsi="Open Sans" w:cs="Open Sans"/>
              </w:rPr>
              <w:t>2.9</w:t>
            </w:r>
          </w:p>
        </w:tc>
      </w:tr>
    </w:tbl>
    <w:p w14:paraId="1076DADE" w14:textId="77777777" w:rsidR="00AE101A" w:rsidRPr="002A63BA" w:rsidRDefault="00AE101A" w:rsidP="00FF3EE4">
      <w:pPr>
        <w:tabs>
          <w:tab w:val="left" w:pos="1820"/>
        </w:tabs>
        <w:spacing w:line="276" w:lineRule="auto"/>
        <w:rPr>
          <w:rFonts w:ascii="Open Sans" w:hAnsi="Open Sans" w:cs="Open Sans"/>
        </w:rPr>
      </w:pPr>
    </w:p>
    <w:p w14:paraId="3AB72781" w14:textId="77777777" w:rsidR="00AE101A" w:rsidRPr="002A63BA" w:rsidRDefault="00AE101A" w:rsidP="00FF3EE4">
      <w:pPr>
        <w:tabs>
          <w:tab w:val="left" w:pos="1820"/>
        </w:tabs>
        <w:spacing w:line="276" w:lineRule="auto"/>
        <w:rPr>
          <w:rFonts w:ascii="Open Sans" w:hAnsi="Open Sans" w:cs="Open Sans"/>
        </w:rPr>
      </w:pPr>
      <w:r w:rsidRPr="002A63BA">
        <w:rPr>
          <w:rFonts w:ascii="Open Sans" w:hAnsi="Open Sans" w:cs="Open Sans"/>
        </w:rPr>
        <w:lastRenderedPageBreak/>
        <w:t>Regarding the influence of environmental issues on individual behaviour, all respondents are on average not very keen on the air pollution sensors use in their neighbourhoods. They agree slightly that everyone in the neighbourhood would have a personal sensor to improve their neighbourhood. They agree slightly that the level of pollution would affect their attitude towards their neighbourhood and their planned activities in it. They are neutral regarding reporting their neighbours if they were polluting. Slovenes and Croats are quite similar in their attitudes towards this issue.</w:t>
      </w:r>
    </w:p>
    <w:p w14:paraId="1F7343D3" w14:textId="77777777" w:rsidR="00AE101A" w:rsidRPr="002A63BA" w:rsidRDefault="00AE101A" w:rsidP="00FF3EE4">
      <w:pPr>
        <w:spacing w:line="276" w:lineRule="auto"/>
        <w:rPr>
          <w:rFonts w:ascii="Open Sans" w:hAnsi="Open Sans" w:cs="Open Sans"/>
          <w:b/>
          <w:bCs/>
        </w:rPr>
      </w:pPr>
      <w:r w:rsidRPr="002A63BA">
        <w:rPr>
          <w:rFonts w:ascii="Open Sans" w:hAnsi="Open Sans" w:cs="Open Sans"/>
          <w:b/>
          <w:bCs/>
          <w:shd w:val="clear" w:color="auto" w:fill="FFFFFF"/>
        </w:rPr>
        <w:t>Privacy issues within air pollution sensors and energy consumption sensors</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48B9DFF7" w14:textId="77777777" w:rsidTr="00FF3EE4">
        <w:tc>
          <w:tcPr>
            <w:tcW w:w="0" w:type="auto"/>
          </w:tcPr>
          <w:p w14:paraId="23FDC5D4" w14:textId="77777777" w:rsidR="00AE101A" w:rsidRPr="002A63BA" w:rsidRDefault="00AE101A" w:rsidP="00FF3EE4">
            <w:pPr>
              <w:spacing w:line="276" w:lineRule="auto"/>
              <w:rPr>
                <w:rFonts w:ascii="Open Sans" w:hAnsi="Open Sans" w:cs="Open Sans"/>
                <w:b/>
              </w:rPr>
            </w:pPr>
            <w:r w:rsidRPr="002A63BA">
              <w:rPr>
                <w:rFonts w:ascii="Open Sans" w:hAnsi="Open Sans" w:cs="Open Sans"/>
                <w:b/>
              </w:rPr>
              <w:t>Individuals’ attitude towards privacy issues with service providers</w:t>
            </w:r>
          </w:p>
        </w:tc>
        <w:tc>
          <w:tcPr>
            <w:tcW w:w="0" w:type="auto"/>
          </w:tcPr>
          <w:p w14:paraId="599B1721"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2DD320E9"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17A24EE8"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79676BDE" w14:textId="77777777" w:rsidTr="00FF3EE4">
        <w:tc>
          <w:tcPr>
            <w:tcW w:w="0" w:type="auto"/>
          </w:tcPr>
          <w:p w14:paraId="1DD1DDB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familiar with the terms and conditions in my agreement with the service providers</w:t>
            </w:r>
          </w:p>
        </w:tc>
        <w:tc>
          <w:tcPr>
            <w:tcW w:w="0" w:type="auto"/>
          </w:tcPr>
          <w:p w14:paraId="1733D7A1"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2.9</w:t>
            </w:r>
          </w:p>
        </w:tc>
        <w:tc>
          <w:tcPr>
            <w:tcW w:w="0" w:type="auto"/>
          </w:tcPr>
          <w:p w14:paraId="3AE3F1A9"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3.1</w:t>
            </w:r>
          </w:p>
        </w:tc>
        <w:tc>
          <w:tcPr>
            <w:tcW w:w="0" w:type="auto"/>
          </w:tcPr>
          <w:p w14:paraId="55BAC6BF"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3.0</w:t>
            </w:r>
          </w:p>
        </w:tc>
      </w:tr>
      <w:tr w:rsidR="00AE101A" w:rsidRPr="002A63BA" w14:paraId="1E1551E7" w14:textId="77777777" w:rsidTr="00FF3EE4">
        <w:tc>
          <w:tcPr>
            <w:tcW w:w="0" w:type="auto"/>
          </w:tcPr>
          <w:p w14:paraId="0FA225B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comfortable with the service providers having direct access to my data</w:t>
            </w:r>
          </w:p>
        </w:tc>
        <w:tc>
          <w:tcPr>
            <w:tcW w:w="0" w:type="auto"/>
          </w:tcPr>
          <w:p w14:paraId="5A8E10A2"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2.4</w:t>
            </w:r>
          </w:p>
        </w:tc>
        <w:tc>
          <w:tcPr>
            <w:tcW w:w="0" w:type="auto"/>
          </w:tcPr>
          <w:p w14:paraId="1720FC4F"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2.7</w:t>
            </w:r>
          </w:p>
        </w:tc>
        <w:tc>
          <w:tcPr>
            <w:tcW w:w="0" w:type="auto"/>
          </w:tcPr>
          <w:p w14:paraId="677C13ED"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2.6</w:t>
            </w:r>
          </w:p>
        </w:tc>
      </w:tr>
      <w:tr w:rsidR="00AE101A" w:rsidRPr="002A63BA" w14:paraId="0DE83E02" w14:textId="77777777" w:rsidTr="00FF3EE4">
        <w:tc>
          <w:tcPr>
            <w:tcW w:w="0" w:type="auto"/>
          </w:tcPr>
          <w:p w14:paraId="32F3C67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willing to allow the service providers to use my data for their profit making</w:t>
            </w:r>
          </w:p>
        </w:tc>
        <w:tc>
          <w:tcPr>
            <w:tcW w:w="0" w:type="auto"/>
          </w:tcPr>
          <w:p w14:paraId="4D126C65"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2.3</w:t>
            </w:r>
          </w:p>
        </w:tc>
        <w:tc>
          <w:tcPr>
            <w:tcW w:w="0" w:type="auto"/>
          </w:tcPr>
          <w:p w14:paraId="56D5475D"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2.5</w:t>
            </w:r>
          </w:p>
        </w:tc>
        <w:tc>
          <w:tcPr>
            <w:tcW w:w="0" w:type="auto"/>
          </w:tcPr>
          <w:p w14:paraId="4F1FB179" w14:textId="77777777" w:rsidR="00AE101A" w:rsidRPr="002A63BA" w:rsidRDefault="00AE101A" w:rsidP="00FF3EE4">
            <w:pPr>
              <w:spacing w:line="276" w:lineRule="auto"/>
              <w:rPr>
                <w:rFonts w:ascii="Open Sans" w:eastAsia="Calibri" w:hAnsi="Open Sans" w:cs="Open Sans"/>
                <w:b/>
                <w:bCs/>
              </w:rPr>
            </w:pPr>
            <w:r w:rsidRPr="002A63BA">
              <w:rPr>
                <w:rFonts w:ascii="Open Sans" w:hAnsi="Open Sans" w:cs="Open Sans"/>
              </w:rPr>
              <w:t>2.4</w:t>
            </w:r>
          </w:p>
        </w:tc>
      </w:tr>
      <w:tr w:rsidR="00AE101A" w:rsidRPr="002A63BA" w14:paraId="5FFF8756" w14:textId="77777777" w:rsidTr="00FF3EE4">
        <w:tc>
          <w:tcPr>
            <w:tcW w:w="0" w:type="auto"/>
          </w:tcPr>
          <w:p w14:paraId="219F9E6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trust my service providers to keep my data private</w:t>
            </w:r>
          </w:p>
        </w:tc>
        <w:tc>
          <w:tcPr>
            <w:tcW w:w="0" w:type="auto"/>
          </w:tcPr>
          <w:p w14:paraId="038CC0C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2.9</w:t>
            </w:r>
          </w:p>
        </w:tc>
        <w:tc>
          <w:tcPr>
            <w:tcW w:w="0" w:type="auto"/>
          </w:tcPr>
          <w:p w14:paraId="49CCEA6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2.8</w:t>
            </w:r>
          </w:p>
        </w:tc>
        <w:tc>
          <w:tcPr>
            <w:tcW w:w="0" w:type="auto"/>
          </w:tcPr>
          <w:p w14:paraId="5548AC1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2.9</w:t>
            </w:r>
          </w:p>
        </w:tc>
      </w:tr>
    </w:tbl>
    <w:p w14:paraId="68F7CDEC" w14:textId="77777777" w:rsidR="00AE101A" w:rsidRPr="002A63BA" w:rsidRDefault="00AE101A" w:rsidP="00FF3EE4">
      <w:pPr>
        <w:spacing w:line="276" w:lineRule="auto"/>
        <w:rPr>
          <w:rFonts w:ascii="Open Sans" w:hAnsi="Open Sans" w:cs="Open Sans"/>
        </w:rPr>
      </w:pPr>
    </w:p>
    <w:p w14:paraId="05A3D538"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Regarding privacy issues with air pollution sensor service providers, all participants are on average neutral about their familiarity with the terms and conditions in their agreement with the service providers and regarding their trust in the personal data use of the providers. However, they disagree slightly with the service providers having direct access to their data and using it for making a profit. Croats disagree with this more than Slovenes, while they are otherwise quite similar in their attitudes towards privacy issues with service providers. </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4A5F0220" w14:textId="77777777" w:rsidTr="00FF3EE4">
        <w:tc>
          <w:tcPr>
            <w:tcW w:w="0" w:type="auto"/>
          </w:tcPr>
          <w:p w14:paraId="793769D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lastRenderedPageBreak/>
              <w:t>Individuals’ attitude towards privacy issues with air pollution sensors use</w:t>
            </w:r>
          </w:p>
        </w:tc>
        <w:tc>
          <w:tcPr>
            <w:tcW w:w="0" w:type="auto"/>
          </w:tcPr>
          <w:p w14:paraId="5DE3FBD3"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0E40B9C7"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6423BEE3"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70DE9DFA" w14:textId="77777777" w:rsidTr="00FF3EE4">
        <w:tc>
          <w:tcPr>
            <w:tcW w:w="0" w:type="auto"/>
          </w:tcPr>
          <w:p w14:paraId="39E1628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Air pollution sensors are trustworthy to me</w:t>
            </w:r>
          </w:p>
        </w:tc>
        <w:tc>
          <w:tcPr>
            <w:tcW w:w="0" w:type="auto"/>
          </w:tcPr>
          <w:p w14:paraId="168E049A"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615351D3"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c>
          <w:tcPr>
            <w:tcW w:w="0" w:type="auto"/>
          </w:tcPr>
          <w:p w14:paraId="5476E93D"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r>
      <w:tr w:rsidR="00AE101A" w:rsidRPr="002A63BA" w14:paraId="35B5A98D" w14:textId="77777777" w:rsidTr="00FF3EE4">
        <w:tc>
          <w:tcPr>
            <w:tcW w:w="0" w:type="auto"/>
          </w:tcPr>
          <w:p w14:paraId="275F715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Air pollution sensors are risky to be used in terms of my privacy</w:t>
            </w:r>
          </w:p>
        </w:tc>
        <w:tc>
          <w:tcPr>
            <w:tcW w:w="0" w:type="auto"/>
          </w:tcPr>
          <w:p w14:paraId="138BD147"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3.1</w:t>
            </w:r>
          </w:p>
        </w:tc>
        <w:tc>
          <w:tcPr>
            <w:tcW w:w="0" w:type="auto"/>
          </w:tcPr>
          <w:p w14:paraId="75E84CE2"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2.9</w:t>
            </w:r>
          </w:p>
        </w:tc>
        <w:tc>
          <w:tcPr>
            <w:tcW w:w="0" w:type="auto"/>
          </w:tcPr>
          <w:p w14:paraId="6BDA6DDD"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3.0</w:t>
            </w:r>
          </w:p>
        </w:tc>
      </w:tr>
      <w:tr w:rsidR="00AE101A" w:rsidRPr="002A63BA" w14:paraId="69A0DAA5" w14:textId="77777777" w:rsidTr="00FF3EE4">
        <w:tc>
          <w:tcPr>
            <w:tcW w:w="0" w:type="auto"/>
          </w:tcPr>
          <w:p w14:paraId="1536603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My privacy would be protected when using air pollution sensors</w:t>
            </w:r>
          </w:p>
        </w:tc>
        <w:tc>
          <w:tcPr>
            <w:tcW w:w="0" w:type="auto"/>
          </w:tcPr>
          <w:p w14:paraId="6215D739"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3.2</w:t>
            </w:r>
          </w:p>
        </w:tc>
        <w:tc>
          <w:tcPr>
            <w:tcW w:w="0" w:type="auto"/>
          </w:tcPr>
          <w:p w14:paraId="7AEE9D37"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3.1</w:t>
            </w:r>
          </w:p>
        </w:tc>
        <w:tc>
          <w:tcPr>
            <w:tcW w:w="0" w:type="auto"/>
          </w:tcPr>
          <w:p w14:paraId="2F123C52"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3.2</w:t>
            </w:r>
          </w:p>
        </w:tc>
      </w:tr>
      <w:tr w:rsidR="00AE101A" w:rsidRPr="002A63BA" w14:paraId="67E8DB40" w14:textId="77777777" w:rsidTr="00FF3EE4">
        <w:tc>
          <w:tcPr>
            <w:tcW w:w="0" w:type="auto"/>
          </w:tcPr>
          <w:p w14:paraId="5AF0E95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am concerned about my personal data when using air pollution sensors</w:t>
            </w:r>
          </w:p>
        </w:tc>
        <w:tc>
          <w:tcPr>
            <w:tcW w:w="0" w:type="auto"/>
          </w:tcPr>
          <w:p w14:paraId="6735BDE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c>
          <w:tcPr>
            <w:tcW w:w="0" w:type="auto"/>
          </w:tcPr>
          <w:p w14:paraId="13C2F8F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3.1</w:t>
            </w:r>
          </w:p>
        </w:tc>
        <w:tc>
          <w:tcPr>
            <w:tcW w:w="0" w:type="auto"/>
          </w:tcPr>
          <w:p w14:paraId="39D628D2"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r>
      <w:tr w:rsidR="00AE101A" w:rsidRPr="002A63BA" w14:paraId="718A0D26" w14:textId="77777777" w:rsidTr="00FF3EE4">
        <w:tc>
          <w:tcPr>
            <w:tcW w:w="0" w:type="auto"/>
          </w:tcPr>
          <w:p w14:paraId="6B3013B8"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Air pollution sensors are something that will be heavily used in the future</w:t>
            </w:r>
          </w:p>
        </w:tc>
        <w:tc>
          <w:tcPr>
            <w:tcW w:w="0" w:type="auto"/>
          </w:tcPr>
          <w:p w14:paraId="2E716225"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3.7</w:t>
            </w:r>
          </w:p>
        </w:tc>
        <w:tc>
          <w:tcPr>
            <w:tcW w:w="0" w:type="auto"/>
          </w:tcPr>
          <w:p w14:paraId="4ECEF949"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753E492C" w14:textId="77777777" w:rsidR="00AE101A" w:rsidRPr="002A63BA" w:rsidRDefault="00AE101A" w:rsidP="00FF3EE4">
            <w:pPr>
              <w:spacing w:line="276" w:lineRule="auto"/>
              <w:rPr>
                <w:rFonts w:ascii="Open Sans" w:eastAsiaTheme="minorEastAsia" w:hAnsi="Open Sans" w:cs="Open Sans"/>
                <w:b/>
              </w:rPr>
            </w:pPr>
            <w:r w:rsidRPr="002A63BA">
              <w:rPr>
                <w:rFonts w:ascii="Open Sans" w:hAnsi="Open Sans" w:cs="Open Sans"/>
              </w:rPr>
              <w:t>3.6</w:t>
            </w:r>
          </w:p>
        </w:tc>
      </w:tr>
    </w:tbl>
    <w:p w14:paraId="582767DC" w14:textId="77777777" w:rsidR="00AE101A" w:rsidRPr="002A63BA" w:rsidRDefault="00AE101A" w:rsidP="00FF3EE4">
      <w:pPr>
        <w:spacing w:line="276" w:lineRule="auto"/>
        <w:rPr>
          <w:rFonts w:ascii="Open Sans" w:hAnsi="Open Sans" w:cs="Open Sans"/>
        </w:rPr>
      </w:pPr>
    </w:p>
    <w:p w14:paraId="7AC842E7" w14:textId="77777777" w:rsidR="00AE101A" w:rsidRPr="002A63BA" w:rsidRDefault="00AE101A" w:rsidP="00FF3EE4">
      <w:pPr>
        <w:spacing w:line="276" w:lineRule="auto"/>
        <w:rPr>
          <w:rFonts w:ascii="Open Sans" w:hAnsi="Open Sans" w:cs="Open Sans"/>
        </w:rPr>
      </w:pPr>
      <w:r w:rsidRPr="002A63BA">
        <w:rPr>
          <w:rFonts w:ascii="Open Sans" w:hAnsi="Open Sans" w:cs="Open Sans"/>
        </w:rPr>
        <w:t>Regarding privacy issues with the use of air pollution sensors, all participants on average agree that air pollution sensors will be heavily used in the future, but they agree only slightly that they are trustworthy or safe in terms of privacy. Slovenes and Croats are quite similar in their attitudes towards this issue.</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03ED41E8" w14:textId="77777777" w:rsidTr="00FF3EE4">
        <w:tc>
          <w:tcPr>
            <w:tcW w:w="0" w:type="auto"/>
          </w:tcPr>
          <w:p w14:paraId="6FBB8BE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data use from air pollution sensors</w:t>
            </w:r>
          </w:p>
        </w:tc>
        <w:tc>
          <w:tcPr>
            <w:tcW w:w="0" w:type="auto"/>
          </w:tcPr>
          <w:p w14:paraId="08F32404"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72B9741C"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4FA83B06"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2D880522" w14:textId="77777777" w:rsidTr="00FF3EE4">
        <w:tc>
          <w:tcPr>
            <w:tcW w:w="0" w:type="auto"/>
          </w:tcPr>
          <w:p w14:paraId="400603E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The use of personal data for the purposes of air pollution sensors should be limited</w:t>
            </w:r>
          </w:p>
        </w:tc>
        <w:tc>
          <w:tcPr>
            <w:tcW w:w="0" w:type="auto"/>
          </w:tcPr>
          <w:p w14:paraId="41D0653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3.8</w:t>
            </w:r>
          </w:p>
        </w:tc>
        <w:tc>
          <w:tcPr>
            <w:tcW w:w="0" w:type="auto"/>
          </w:tcPr>
          <w:p w14:paraId="72C901CB"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3.7</w:t>
            </w:r>
          </w:p>
        </w:tc>
        <w:tc>
          <w:tcPr>
            <w:tcW w:w="0" w:type="auto"/>
          </w:tcPr>
          <w:p w14:paraId="2456B5C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3.8</w:t>
            </w:r>
          </w:p>
        </w:tc>
      </w:tr>
      <w:tr w:rsidR="00AE101A" w:rsidRPr="002A63BA" w14:paraId="7977336A" w14:textId="77777777" w:rsidTr="00FF3EE4">
        <w:tc>
          <w:tcPr>
            <w:tcW w:w="0" w:type="auto"/>
          </w:tcPr>
          <w:p w14:paraId="5639B68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Personal data related to the use of air pollution sensors should not be passed on to third parties</w:t>
            </w:r>
          </w:p>
        </w:tc>
        <w:tc>
          <w:tcPr>
            <w:tcW w:w="0" w:type="auto"/>
          </w:tcPr>
          <w:p w14:paraId="7F1C3653"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4.1</w:t>
            </w:r>
          </w:p>
        </w:tc>
        <w:tc>
          <w:tcPr>
            <w:tcW w:w="0" w:type="auto"/>
          </w:tcPr>
          <w:p w14:paraId="785D13D2"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3.9</w:t>
            </w:r>
          </w:p>
        </w:tc>
        <w:tc>
          <w:tcPr>
            <w:tcW w:w="0" w:type="auto"/>
          </w:tcPr>
          <w:p w14:paraId="25CE614B"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4.0</w:t>
            </w:r>
          </w:p>
        </w:tc>
      </w:tr>
      <w:tr w:rsidR="00AE101A" w:rsidRPr="002A63BA" w14:paraId="563E0C75" w14:textId="77777777" w:rsidTr="00FF3EE4">
        <w:tc>
          <w:tcPr>
            <w:tcW w:w="0" w:type="auto"/>
          </w:tcPr>
          <w:p w14:paraId="6CFC5A0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The duration of the storage of certain personal data must be limited</w:t>
            </w:r>
          </w:p>
        </w:tc>
        <w:tc>
          <w:tcPr>
            <w:tcW w:w="0" w:type="auto"/>
          </w:tcPr>
          <w:p w14:paraId="281777F8"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4.1</w:t>
            </w:r>
          </w:p>
        </w:tc>
        <w:tc>
          <w:tcPr>
            <w:tcW w:w="0" w:type="auto"/>
          </w:tcPr>
          <w:p w14:paraId="27623771"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3.8</w:t>
            </w:r>
          </w:p>
        </w:tc>
        <w:tc>
          <w:tcPr>
            <w:tcW w:w="0" w:type="auto"/>
          </w:tcPr>
          <w:p w14:paraId="7DF5B56D"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4.0</w:t>
            </w:r>
          </w:p>
        </w:tc>
      </w:tr>
      <w:tr w:rsidR="00AE101A" w:rsidRPr="002A63BA" w14:paraId="596F42F0" w14:textId="77777777" w:rsidTr="00FF3EE4">
        <w:tc>
          <w:tcPr>
            <w:tcW w:w="0" w:type="auto"/>
          </w:tcPr>
          <w:p w14:paraId="2570DA1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Misuse of personal data must be prevented</w:t>
            </w:r>
          </w:p>
        </w:tc>
        <w:tc>
          <w:tcPr>
            <w:tcW w:w="0" w:type="auto"/>
          </w:tcPr>
          <w:p w14:paraId="756A97C9"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4.6</w:t>
            </w:r>
          </w:p>
        </w:tc>
        <w:tc>
          <w:tcPr>
            <w:tcW w:w="0" w:type="auto"/>
          </w:tcPr>
          <w:p w14:paraId="154E0384"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4.3</w:t>
            </w:r>
          </w:p>
        </w:tc>
        <w:tc>
          <w:tcPr>
            <w:tcW w:w="0" w:type="auto"/>
          </w:tcPr>
          <w:p w14:paraId="6CE99E6A"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4.4</w:t>
            </w:r>
          </w:p>
        </w:tc>
      </w:tr>
      <w:tr w:rsidR="00AE101A" w:rsidRPr="002A63BA" w14:paraId="4AFB7C70" w14:textId="77777777" w:rsidTr="00FF3EE4">
        <w:tc>
          <w:tcPr>
            <w:tcW w:w="0" w:type="auto"/>
          </w:tcPr>
          <w:p w14:paraId="1C67E9E6"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The person must be informed in advance of the potential use of personal data</w:t>
            </w:r>
          </w:p>
        </w:tc>
        <w:tc>
          <w:tcPr>
            <w:tcW w:w="0" w:type="auto"/>
          </w:tcPr>
          <w:p w14:paraId="5984E7EE"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4.5</w:t>
            </w:r>
          </w:p>
        </w:tc>
        <w:tc>
          <w:tcPr>
            <w:tcW w:w="0" w:type="auto"/>
          </w:tcPr>
          <w:p w14:paraId="5AC28B52"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4.2</w:t>
            </w:r>
          </w:p>
        </w:tc>
        <w:tc>
          <w:tcPr>
            <w:tcW w:w="0" w:type="auto"/>
          </w:tcPr>
          <w:p w14:paraId="7467BE46" w14:textId="77777777" w:rsidR="00AE101A" w:rsidRPr="002A63BA" w:rsidRDefault="00AE101A" w:rsidP="00FF3EE4">
            <w:pPr>
              <w:spacing w:line="276" w:lineRule="auto"/>
              <w:rPr>
                <w:rFonts w:ascii="Open Sans" w:eastAsiaTheme="minorEastAsia" w:hAnsi="Open Sans" w:cs="Open Sans"/>
                <w:color w:val="70AD47" w:themeColor="accent6"/>
              </w:rPr>
            </w:pPr>
            <w:r w:rsidRPr="002A63BA">
              <w:rPr>
                <w:rFonts w:ascii="Open Sans" w:hAnsi="Open Sans" w:cs="Open Sans"/>
              </w:rPr>
              <w:t>4.4</w:t>
            </w:r>
          </w:p>
        </w:tc>
      </w:tr>
    </w:tbl>
    <w:p w14:paraId="2CE1BC04" w14:textId="77777777" w:rsidR="00AE101A" w:rsidRPr="002A63BA" w:rsidRDefault="00AE101A" w:rsidP="00FF3EE4">
      <w:pPr>
        <w:spacing w:line="276" w:lineRule="auto"/>
        <w:rPr>
          <w:rFonts w:ascii="Open Sans" w:hAnsi="Open Sans" w:cs="Open Sans"/>
        </w:rPr>
      </w:pPr>
    </w:p>
    <w:p w14:paraId="6AF6AB6F" w14:textId="77777777" w:rsidR="00AE101A" w:rsidRPr="002A63BA" w:rsidRDefault="00AE101A" w:rsidP="00FF3EE4">
      <w:pPr>
        <w:spacing w:line="276" w:lineRule="auto"/>
        <w:rPr>
          <w:rFonts w:ascii="Open Sans" w:hAnsi="Open Sans" w:cs="Open Sans"/>
        </w:rPr>
      </w:pPr>
      <w:r w:rsidRPr="002A63BA">
        <w:rPr>
          <w:rFonts w:ascii="Open Sans" w:hAnsi="Open Sans" w:cs="Open Sans"/>
        </w:rPr>
        <w:lastRenderedPageBreak/>
        <w:t>Regarding the use of data from air pollution sensors, all respondents on average agree strongly that they must be informed in advance of the potential use of their personal data from air pollution sensors, as well as that the misuse of it must be prevented. They also agree that the data should not be passed to third parties and should be deleted after a certain period. Moreover, they agree that the use of personal data for air pollution sensors should be limited. Slovenes and Croats are quite similar in their attitudes towards this issue.</w:t>
      </w:r>
    </w:p>
    <w:p w14:paraId="05DC80D0" w14:textId="45F706C3" w:rsidR="00AE101A" w:rsidRPr="00FF3EE4" w:rsidRDefault="00AE101A" w:rsidP="00FF3EE4">
      <w:pPr>
        <w:pStyle w:val="N1"/>
      </w:pPr>
      <w:r w:rsidRPr="002A63BA">
        <w:t>WASTE POLLUTION</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7128AFBB" w14:textId="77777777" w:rsidTr="00FF3EE4">
        <w:tc>
          <w:tcPr>
            <w:tcW w:w="0" w:type="auto"/>
          </w:tcPr>
          <w:p w14:paraId="77466A3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waste pollution management</w:t>
            </w:r>
          </w:p>
        </w:tc>
        <w:tc>
          <w:tcPr>
            <w:tcW w:w="0" w:type="auto"/>
          </w:tcPr>
          <w:p w14:paraId="63652109"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39B12F83"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5D7874E0"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74D467EE" w14:textId="77777777" w:rsidTr="00FF3EE4">
        <w:tc>
          <w:tcPr>
            <w:tcW w:w="0" w:type="auto"/>
          </w:tcPr>
          <w:p w14:paraId="40EA8A8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If the volume of waste production of my household became public, I would try to decrease it</w:t>
            </w:r>
          </w:p>
        </w:tc>
        <w:tc>
          <w:tcPr>
            <w:tcW w:w="0" w:type="auto"/>
          </w:tcPr>
          <w:p w14:paraId="00D11E9C"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718FF7AC"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c>
          <w:tcPr>
            <w:tcW w:w="0" w:type="auto"/>
          </w:tcPr>
          <w:p w14:paraId="3B1D79BF"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r>
      <w:tr w:rsidR="00AE101A" w:rsidRPr="002A63BA" w14:paraId="716F44F6" w14:textId="77777777" w:rsidTr="00FF3EE4">
        <w:tc>
          <w:tcPr>
            <w:tcW w:w="0" w:type="auto"/>
          </w:tcPr>
          <w:p w14:paraId="13A4039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If the volume of waste production of my neighbours was lower than mine, I would decrease the volume of waste production of my household</w:t>
            </w:r>
          </w:p>
        </w:tc>
        <w:tc>
          <w:tcPr>
            <w:tcW w:w="0" w:type="auto"/>
          </w:tcPr>
          <w:p w14:paraId="162B2BC0"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c>
          <w:tcPr>
            <w:tcW w:w="0" w:type="auto"/>
          </w:tcPr>
          <w:p w14:paraId="113A2172"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3.3</w:t>
            </w:r>
          </w:p>
        </w:tc>
        <w:tc>
          <w:tcPr>
            <w:tcW w:w="0" w:type="auto"/>
          </w:tcPr>
          <w:p w14:paraId="7E21CAD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r>
      <w:tr w:rsidR="00AE101A" w:rsidRPr="002A63BA" w14:paraId="2C0275FC" w14:textId="77777777" w:rsidTr="00FF3EE4">
        <w:tc>
          <w:tcPr>
            <w:tcW w:w="0" w:type="auto"/>
          </w:tcPr>
          <w:p w14:paraId="54B58DAC"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If households with greater productions of waste were fined, I would decrease waste production of my household</w:t>
            </w:r>
          </w:p>
        </w:tc>
        <w:tc>
          <w:tcPr>
            <w:tcW w:w="0" w:type="auto"/>
          </w:tcPr>
          <w:p w14:paraId="5408E683"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3.9</w:t>
            </w:r>
          </w:p>
        </w:tc>
        <w:tc>
          <w:tcPr>
            <w:tcW w:w="0" w:type="auto"/>
          </w:tcPr>
          <w:p w14:paraId="7480000F"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3.6</w:t>
            </w:r>
          </w:p>
        </w:tc>
        <w:tc>
          <w:tcPr>
            <w:tcW w:w="0" w:type="auto"/>
          </w:tcPr>
          <w:p w14:paraId="6D8F42CC" w14:textId="77777777" w:rsidR="00AE101A" w:rsidRPr="002A63BA" w:rsidRDefault="00AE101A" w:rsidP="00FF3EE4">
            <w:pPr>
              <w:spacing w:line="276" w:lineRule="auto"/>
              <w:rPr>
                <w:rFonts w:ascii="Open Sans" w:eastAsia="Calibri" w:hAnsi="Open Sans" w:cs="Open Sans"/>
                <w:color w:val="70AD47" w:themeColor="accent6"/>
              </w:rPr>
            </w:pPr>
            <w:r w:rsidRPr="002A63BA">
              <w:rPr>
                <w:rFonts w:ascii="Open Sans" w:hAnsi="Open Sans" w:cs="Open Sans"/>
              </w:rPr>
              <w:t>3.7</w:t>
            </w:r>
          </w:p>
        </w:tc>
      </w:tr>
      <w:tr w:rsidR="00AE101A" w:rsidRPr="002A63BA" w14:paraId="68B99051" w14:textId="77777777" w:rsidTr="00FF3EE4">
        <w:tc>
          <w:tcPr>
            <w:tcW w:w="0" w:type="auto"/>
          </w:tcPr>
          <w:p w14:paraId="7575115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be bothered by sensors that recognize what kind of waste has been thrown inside the bin and alarm if the dropped waste does not belong to that bin</w:t>
            </w:r>
          </w:p>
        </w:tc>
        <w:tc>
          <w:tcPr>
            <w:tcW w:w="0" w:type="auto"/>
          </w:tcPr>
          <w:p w14:paraId="2727642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2.7</w:t>
            </w:r>
          </w:p>
        </w:tc>
        <w:tc>
          <w:tcPr>
            <w:tcW w:w="0" w:type="auto"/>
          </w:tcPr>
          <w:p w14:paraId="2D3986A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2.9</w:t>
            </w:r>
          </w:p>
        </w:tc>
        <w:tc>
          <w:tcPr>
            <w:tcW w:w="0" w:type="auto"/>
          </w:tcPr>
          <w:p w14:paraId="12EEA841"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2.8</w:t>
            </w:r>
          </w:p>
        </w:tc>
      </w:tr>
      <w:tr w:rsidR="00AE101A" w:rsidRPr="002A63BA" w14:paraId="5674F84B" w14:textId="77777777" w:rsidTr="00FF3EE4">
        <w:tc>
          <w:tcPr>
            <w:tcW w:w="0" w:type="auto"/>
          </w:tcPr>
          <w:p w14:paraId="31E250F0"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I would be willing to deposit my waste to containers that are supported by sensors that can link waste bags with me</w:t>
            </w:r>
          </w:p>
        </w:tc>
        <w:tc>
          <w:tcPr>
            <w:tcW w:w="0" w:type="auto"/>
          </w:tcPr>
          <w:p w14:paraId="5247D50A"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3.1</w:t>
            </w:r>
          </w:p>
        </w:tc>
        <w:tc>
          <w:tcPr>
            <w:tcW w:w="0" w:type="auto"/>
          </w:tcPr>
          <w:p w14:paraId="28C4AFE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1C9D37DE"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3.2</w:t>
            </w:r>
          </w:p>
        </w:tc>
      </w:tr>
      <w:tr w:rsidR="00AE101A" w:rsidRPr="002A63BA" w14:paraId="2D7C922D" w14:textId="77777777" w:rsidTr="00FF3EE4">
        <w:tc>
          <w:tcPr>
            <w:tcW w:w="0" w:type="auto"/>
          </w:tcPr>
          <w:p w14:paraId="60663B5F" w14:textId="77777777" w:rsidR="00AE101A" w:rsidRPr="002A63BA" w:rsidRDefault="00AE101A" w:rsidP="00FF3EE4">
            <w:pPr>
              <w:spacing w:line="276" w:lineRule="auto"/>
              <w:rPr>
                <w:rFonts w:ascii="Open Sans" w:hAnsi="Open Sans" w:cs="Open Sans"/>
              </w:rPr>
            </w:pPr>
            <w:r w:rsidRPr="002A63BA">
              <w:rPr>
                <w:rFonts w:ascii="Open Sans" w:hAnsi="Open Sans" w:cs="Open Sans"/>
              </w:rPr>
              <w:lastRenderedPageBreak/>
              <w:t>I would be willing to deposit my waste to containers that are supported by sensors if the waste could not be linked to me</w:t>
            </w:r>
          </w:p>
        </w:tc>
        <w:tc>
          <w:tcPr>
            <w:tcW w:w="0" w:type="auto"/>
          </w:tcPr>
          <w:p w14:paraId="4D009B74"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c>
          <w:tcPr>
            <w:tcW w:w="0" w:type="auto"/>
          </w:tcPr>
          <w:p w14:paraId="2B58993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3.2</w:t>
            </w:r>
          </w:p>
        </w:tc>
        <w:tc>
          <w:tcPr>
            <w:tcW w:w="0" w:type="auto"/>
          </w:tcPr>
          <w:p w14:paraId="00FAB84A" w14:textId="77777777" w:rsidR="00AE101A" w:rsidRPr="002A63BA" w:rsidRDefault="00AE101A" w:rsidP="00FF3EE4">
            <w:pPr>
              <w:spacing w:line="276" w:lineRule="auto"/>
              <w:rPr>
                <w:rFonts w:ascii="Open Sans" w:hAnsi="Open Sans" w:cs="Open Sans"/>
              </w:rPr>
            </w:pPr>
            <w:r w:rsidRPr="002A63BA">
              <w:rPr>
                <w:rFonts w:ascii="Open Sans" w:hAnsi="Open Sans" w:cs="Open Sans"/>
              </w:rPr>
              <w:t>3.4</w:t>
            </w:r>
          </w:p>
        </w:tc>
      </w:tr>
      <w:tr w:rsidR="00AE101A" w:rsidRPr="002A63BA" w14:paraId="5B7CE785" w14:textId="77777777" w:rsidTr="00FF3EE4">
        <w:tc>
          <w:tcPr>
            <w:tcW w:w="0" w:type="auto"/>
          </w:tcPr>
          <w:p w14:paraId="1F009108" w14:textId="77777777" w:rsidR="00AE101A" w:rsidRPr="002A63BA" w:rsidRDefault="00AE101A" w:rsidP="00FF3EE4">
            <w:pPr>
              <w:spacing w:line="276" w:lineRule="auto"/>
              <w:rPr>
                <w:rFonts w:ascii="Open Sans" w:hAnsi="Open Sans" w:cs="Open Sans"/>
              </w:rPr>
            </w:pPr>
            <w:r w:rsidRPr="002A63BA">
              <w:rPr>
                <w:rFonts w:ascii="Open Sans" w:hAnsi="Open Sans" w:cs="Open Sans"/>
              </w:rPr>
              <w:t>I would use sensors in my household to monitor waste production to optimize trash collection routes</w:t>
            </w:r>
          </w:p>
        </w:tc>
        <w:tc>
          <w:tcPr>
            <w:tcW w:w="0" w:type="auto"/>
          </w:tcPr>
          <w:p w14:paraId="73C8A639"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739DD7BF"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3.4</w:t>
            </w:r>
          </w:p>
        </w:tc>
        <w:tc>
          <w:tcPr>
            <w:tcW w:w="0" w:type="auto"/>
          </w:tcPr>
          <w:p w14:paraId="096AA65D" w14:textId="77777777" w:rsidR="00AE101A" w:rsidRPr="002A63BA" w:rsidRDefault="00AE101A" w:rsidP="00FF3EE4">
            <w:pPr>
              <w:spacing w:line="276" w:lineRule="auto"/>
              <w:rPr>
                <w:rFonts w:ascii="Open Sans" w:hAnsi="Open Sans" w:cs="Open Sans"/>
              </w:rPr>
            </w:pPr>
            <w:r w:rsidRPr="002A63BA">
              <w:rPr>
                <w:rFonts w:ascii="Open Sans" w:hAnsi="Open Sans" w:cs="Open Sans"/>
              </w:rPr>
              <w:t>3.5</w:t>
            </w:r>
          </w:p>
        </w:tc>
      </w:tr>
    </w:tbl>
    <w:p w14:paraId="61CAB9D3" w14:textId="77777777" w:rsidR="00AE101A" w:rsidRPr="002A63BA" w:rsidRDefault="00AE101A" w:rsidP="00FF3EE4">
      <w:pPr>
        <w:spacing w:line="276" w:lineRule="auto"/>
        <w:rPr>
          <w:rFonts w:ascii="Open Sans" w:hAnsi="Open Sans" w:cs="Open Sans"/>
        </w:rPr>
      </w:pPr>
    </w:p>
    <w:p w14:paraId="3947ABB2" w14:textId="77777777" w:rsidR="00AE101A" w:rsidRPr="002A63BA" w:rsidRDefault="00AE101A" w:rsidP="00FF3EE4">
      <w:pPr>
        <w:spacing w:line="276" w:lineRule="auto"/>
        <w:rPr>
          <w:rFonts w:ascii="Open Sans" w:hAnsi="Open Sans" w:cs="Open Sans"/>
        </w:rPr>
      </w:pPr>
      <w:r w:rsidRPr="002A63BA">
        <w:rPr>
          <w:rFonts w:ascii="Open Sans" w:hAnsi="Open Sans" w:cs="Open Sans"/>
        </w:rPr>
        <w:t>Regarding waste pollution, all respondents on average agree with most of the waste reduction sanctions. They would decrease their waste production more, if they were fined for it, then if their waste production would become public and they produced more of it than their neighbours. They would agree to deposit their waste in smart containers more if the waste bags were not linked to them. They would consider using sensors in their households to monitor and optimize waste collection. In general, they are not against smart waste management, except for the use of waste bins that would start an alarm when the dropped waste would not belong in them. Slovenes and Croats are quite similar in their attitudes towards this.</w:t>
      </w:r>
    </w:p>
    <w:p w14:paraId="0D928F8D" w14:textId="77777777" w:rsidR="00AE101A" w:rsidRPr="002A63BA" w:rsidRDefault="00AE101A" w:rsidP="00FF3EE4">
      <w:pPr>
        <w:pStyle w:val="N1"/>
      </w:pPr>
      <w:r w:rsidRPr="002A63BA">
        <w:t>NOISE POLLUTION</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014D55D9" w14:textId="77777777" w:rsidTr="00FF3EE4">
        <w:tc>
          <w:tcPr>
            <w:tcW w:w="0" w:type="auto"/>
          </w:tcPr>
          <w:p w14:paraId="4A99DD6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noise pollution management</w:t>
            </w:r>
          </w:p>
        </w:tc>
        <w:tc>
          <w:tcPr>
            <w:tcW w:w="0" w:type="auto"/>
          </w:tcPr>
          <w:p w14:paraId="0BD08A33"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5A5273B5"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282DD4E6"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5DECCF3A" w14:textId="77777777" w:rsidTr="00FF3EE4">
        <w:tc>
          <w:tcPr>
            <w:tcW w:w="0" w:type="auto"/>
          </w:tcPr>
          <w:p w14:paraId="0EE3149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agree that my city installs noise monitoring sensors in public streets</w:t>
            </w:r>
          </w:p>
        </w:tc>
        <w:tc>
          <w:tcPr>
            <w:tcW w:w="0" w:type="auto"/>
          </w:tcPr>
          <w:p w14:paraId="3899A585"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c>
          <w:tcPr>
            <w:tcW w:w="0" w:type="auto"/>
          </w:tcPr>
          <w:p w14:paraId="796FBB4A"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4E70F17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r>
      <w:tr w:rsidR="00AE101A" w:rsidRPr="002A63BA" w14:paraId="23F215EC" w14:textId="77777777" w:rsidTr="00FF3EE4">
        <w:tc>
          <w:tcPr>
            <w:tcW w:w="0" w:type="auto"/>
          </w:tcPr>
          <w:p w14:paraId="60D6D237"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agree that the data provided would be sent and analysed to better improve living in my city</w:t>
            </w:r>
          </w:p>
        </w:tc>
        <w:tc>
          <w:tcPr>
            <w:tcW w:w="0" w:type="auto"/>
          </w:tcPr>
          <w:p w14:paraId="2C4B6245"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6305C62F"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6F90E019"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r>
      <w:tr w:rsidR="00AE101A" w:rsidRPr="002A63BA" w14:paraId="736D8B04" w14:textId="77777777" w:rsidTr="00FF3EE4">
        <w:tc>
          <w:tcPr>
            <w:tcW w:w="0" w:type="auto"/>
          </w:tcPr>
          <w:p w14:paraId="193FB582"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agree that noise monitoring sensors would also detect emergency critical sounds, e.g., car crashes, breaking of glass</w:t>
            </w:r>
          </w:p>
        </w:tc>
        <w:tc>
          <w:tcPr>
            <w:tcW w:w="0" w:type="auto"/>
          </w:tcPr>
          <w:p w14:paraId="3C230D99"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3.9</w:t>
            </w:r>
          </w:p>
        </w:tc>
        <w:tc>
          <w:tcPr>
            <w:tcW w:w="0" w:type="auto"/>
          </w:tcPr>
          <w:p w14:paraId="27CD8A77"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3.7</w:t>
            </w:r>
          </w:p>
        </w:tc>
        <w:tc>
          <w:tcPr>
            <w:tcW w:w="0" w:type="auto"/>
          </w:tcPr>
          <w:p w14:paraId="1345AF94"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3.8</w:t>
            </w:r>
          </w:p>
        </w:tc>
      </w:tr>
    </w:tbl>
    <w:p w14:paraId="4C7B18E1" w14:textId="77777777" w:rsidR="00AE101A" w:rsidRPr="002A63BA" w:rsidRDefault="00AE101A" w:rsidP="00FF3EE4">
      <w:pPr>
        <w:spacing w:line="276" w:lineRule="auto"/>
        <w:rPr>
          <w:rFonts w:ascii="Open Sans" w:hAnsi="Open Sans" w:cs="Open Sans"/>
        </w:rPr>
      </w:pPr>
    </w:p>
    <w:p w14:paraId="29765677" w14:textId="77777777" w:rsidR="00AE101A" w:rsidRPr="002A63BA" w:rsidRDefault="00AE101A" w:rsidP="00FF3EE4">
      <w:pPr>
        <w:spacing w:line="276" w:lineRule="auto"/>
        <w:rPr>
          <w:rFonts w:ascii="Open Sans" w:hAnsi="Open Sans" w:cs="Open Sans"/>
        </w:rPr>
      </w:pPr>
      <w:r w:rsidRPr="002A63BA">
        <w:rPr>
          <w:rFonts w:ascii="Open Sans" w:hAnsi="Open Sans" w:cs="Open Sans"/>
        </w:rPr>
        <w:lastRenderedPageBreak/>
        <w:t>Regarding noise pollution, all participants on average agree with the use of noise monitoring sensors for the purpose of detecting emergency critical sounds, like car crashed or breaking of glass. They agree less with the use of them on public streets and further use of the collected data. Slovenes and Croats are quite similar in their attitudes towards this.</w:t>
      </w:r>
    </w:p>
    <w:p w14:paraId="3BDFEE32" w14:textId="77777777" w:rsidR="00AE101A" w:rsidRPr="002A63BA" w:rsidRDefault="00AE101A" w:rsidP="00FF3EE4">
      <w:pPr>
        <w:pStyle w:val="N1"/>
      </w:pPr>
      <w:r w:rsidRPr="002A63BA">
        <w:t>LIGHT POLLUTION</w:t>
      </w:r>
    </w:p>
    <w:tbl>
      <w:tblPr>
        <w:tblStyle w:val="Reetkatablice"/>
        <w:tblW w:w="0" w:type="auto"/>
        <w:tblLook w:val="04A0" w:firstRow="1" w:lastRow="0" w:firstColumn="1" w:lastColumn="0" w:noHBand="0" w:noVBand="1"/>
      </w:tblPr>
      <w:tblGrid>
        <w:gridCol w:w="4490"/>
        <w:gridCol w:w="1141"/>
        <w:gridCol w:w="1021"/>
        <w:gridCol w:w="776"/>
      </w:tblGrid>
      <w:tr w:rsidR="00AE101A" w:rsidRPr="002A63BA" w14:paraId="2FFD9244" w14:textId="77777777" w:rsidTr="00FF3EE4">
        <w:tc>
          <w:tcPr>
            <w:tcW w:w="0" w:type="auto"/>
          </w:tcPr>
          <w:p w14:paraId="18C1BB4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b/>
              </w:rPr>
              <w:t>Individuals’ attitude towards light pollution management</w:t>
            </w:r>
          </w:p>
        </w:tc>
        <w:tc>
          <w:tcPr>
            <w:tcW w:w="0" w:type="auto"/>
          </w:tcPr>
          <w:p w14:paraId="5B3A2E5E"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Slovenia</w:t>
            </w:r>
          </w:p>
        </w:tc>
        <w:tc>
          <w:tcPr>
            <w:tcW w:w="0" w:type="auto"/>
          </w:tcPr>
          <w:p w14:paraId="62119FFE" w14:textId="77777777" w:rsidR="00AE101A" w:rsidRPr="002A63BA" w:rsidRDefault="00AE101A" w:rsidP="00FF3EE4">
            <w:pPr>
              <w:spacing w:line="276" w:lineRule="auto"/>
              <w:rPr>
                <w:rFonts w:ascii="Open Sans" w:eastAsia="Calibri" w:hAnsi="Open Sans" w:cs="Open Sans"/>
              </w:rPr>
            </w:pPr>
            <w:r w:rsidRPr="002A63BA">
              <w:rPr>
                <w:rFonts w:ascii="Open Sans" w:eastAsia="Times New Roman" w:hAnsi="Open Sans" w:cs="Open Sans"/>
                <w:b/>
                <w:bCs/>
                <w:lang w:eastAsia="sl-SI"/>
              </w:rPr>
              <w:t>Croatia</w:t>
            </w:r>
          </w:p>
        </w:tc>
        <w:tc>
          <w:tcPr>
            <w:tcW w:w="0" w:type="auto"/>
          </w:tcPr>
          <w:p w14:paraId="5933B6ED" w14:textId="77777777" w:rsidR="00AE101A" w:rsidRPr="002A63BA" w:rsidRDefault="00AE101A" w:rsidP="00FF3EE4">
            <w:pPr>
              <w:spacing w:line="276" w:lineRule="auto"/>
              <w:ind w:left="708" w:hanging="708"/>
              <w:rPr>
                <w:rFonts w:ascii="Open Sans" w:eastAsia="Calibri" w:hAnsi="Open Sans" w:cs="Open Sans"/>
              </w:rPr>
            </w:pPr>
            <w:r w:rsidRPr="002A63BA">
              <w:rPr>
                <w:rFonts w:ascii="Open Sans" w:eastAsia="Times New Roman" w:hAnsi="Open Sans" w:cs="Open Sans"/>
                <w:b/>
                <w:bCs/>
                <w:lang w:eastAsia="sl-SI"/>
              </w:rPr>
              <w:t>Total</w:t>
            </w:r>
          </w:p>
        </w:tc>
      </w:tr>
      <w:tr w:rsidR="00AE101A" w:rsidRPr="002A63BA" w14:paraId="6635D44F" w14:textId="77777777" w:rsidTr="00FF3EE4">
        <w:tc>
          <w:tcPr>
            <w:tcW w:w="0" w:type="auto"/>
          </w:tcPr>
          <w:p w14:paraId="2DE11152"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Light pollution is problematic</w:t>
            </w:r>
          </w:p>
        </w:tc>
        <w:tc>
          <w:tcPr>
            <w:tcW w:w="0" w:type="auto"/>
          </w:tcPr>
          <w:p w14:paraId="2E624FB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3.8</w:t>
            </w:r>
          </w:p>
        </w:tc>
        <w:tc>
          <w:tcPr>
            <w:tcW w:w="0" w:type="auto"/>
          </w:tcPr>
          <w:p w14:paraId="0C9983B7"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3.5</w:t>
            </w:r>
          </w:p>
        </w:tc>
        <w:tc>
          <w:tcPr>
            <w:tcW w:w="0" w:type="auto"/>
          </w:tcPr>
          <w:p w14:paraId="785EC198"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3.7</w:t>
            </w:r>
          </w:p>
        </w:tc>
      </w:tr>
      <w:tr w:rsidR="00AE101A" w:rsidRPr="002A63BA" w14:paraId="70858C1A" w14:textId="77777777" w:rsidTr="00FF3EE4">
        <w:tc>
          <w:tcPr>
            <w:tcW w:w="0" w:type="auto"/>
          </w:tcPr>
          <w:p w14:paraId="3A1ED0B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agree with street lighting tracking my location to reduce light pollution</w:t>
            </w:r>
          </w:p>
        </w:tc>
        <w:tc>
          <w:tcPr>
            <w:tcW w:w="0" w:type="auto"/>
          </w:tcPr>
          <w:p w14:paraId="4B39B32E"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3.6</w:t>
            </w:r>
          </w:p>
        </w:tc>
        <w:tc>
          <w:tcPr>
            <w:tcW w:w="0" w:type="auto"/>
          </w:tcPr>
          <w:p w14:paraId="7F9BB61C"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3.3</w:t>
            </w:r>
          </w:p>
        </w:tc>
        <w:tc>
          <w:tcPr>
            <w:tcW w:w="0" w:type="auto"/>
          </w:tcPr>
          <w:p w14:paraId="13A65E8A"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3.4</w:t>
            </w:r>
          </w:p>
        </w:tc>
      </w:tr>
      <w:tr w:rsidR="00AE101A" w:rsidRPr="002A63BA" w14:paraId="5F295F38" w14:textId="77777777" w:rsidTr="00FF3EE4">
        <w:tc>
          <w:tcPr>
            <w:tcW w:w="0" w:type="auto"/>
          </w:tcPr>
          <w:p w14:paraId="4E5CB595"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would oppose different coloured street lighting</w:t>
            </w:r>
          </w:p>
        </w:tc>
        <w:tc>
          <w:tcPr>
            <w:tcW w:w="0" w:type="auto"/>
          </w:tcPr>
          <w:p w14:paraId="55AF03F2" w14:textId="77777777" w:rsidR="00AE101A" w:rsidRPr="002A63BA" w:rsidRDefault="00AE101A" w:rsidP="00FF3EE4">
            <w:pPr>
              <w:spacing w:line="276" w:lineRule="auto"/>
              <w:rPr>
                <w:rFonts w:ascii="Open Sans" w:eastAsia="Calibri" w:hAnsi="Open Sans" w:cs="Open Sans"/>
                <w:bCs/>
              </w:rPr>
            </w:pPr>
            <w:r w:rsidRPr="002A63BA">
              <w:rPr>
                <w:rFonts w:ascii="Open Sans" w:eastAsia="Calibri" w:hAnsi="Open Sans" w:cs="Open Sans"/>
                <w:bCs/>
              </w:rPr>
              <w:t>3.0</w:t>
            </w:r>
          </w:p>
        </w:tc>
        <w:tc>
          <w:tcPr>
            <w:tcW w:w="0" w:type="auto"/>
          </w:tcPr>
          <w:p w14:paraId="36374D8E"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3.1</w:t>
            </w:r>
          </w:p>
        </w:tc>
        <w:tc>
          <w:tcPr>
            <w:tcW w:w="0" w:type="auto"/>
          </w:tcPr>
          <w:p w14:paraId="02A716FB" w14:textId="77777777" w:rsidR="00AE101A" w:rsidRPr="002A63BA" w:rsidRDefault="00AE101A" w:rsidP="00FF3EE4">
            <w:pPr>
              <w:spacing w:line="276" w:lineRule="auto"/>
              <w:rPr>
                <w:rFonts w:ascii="Open Sans" w:eastAsia="Calibri" w:hAnsi="Open Sans" w:cs="Open Sans"/>
                <w:b/>
              </w:rPr>
            </w:pPr>
            <w:r w:rsidRPr="002A63BA">
              <w:rPr>
                <w:rFonts w:ascii="Open Sans" w:hAnsi="Open Sans" w:cs="Open Sans"/>
              </w:rPr>
              <w:t>3.1</w:t>
            </w:r>
          </w:p>
        </w:tc>
      </w:tr>
      <w:tr w:rsidR="00AE101A" w:rsidRPr="002A63BA" w14:paraId="2107D409" w14:textId="77777777" w:rsidTr="00FF3EE4">
        <w:tc>
          <w:tcPr>
            <w:tcW w:w="0" w:type="auto"/>
          </w:tcPr>
          <w:p w14:paraId="5136BE7D"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I agree with the weaker street lightning that emit less light</w:t>
            </w:r>
          </w:p>
        </w:tc>
        <w:tc>
          <w:tcPr>
            <w:tcW w:w="0" w:type="auto"/>
          </w:tcPr>
          <w:p w14:paraId="3C369568"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3.7</w:t>
            </w:r>
          </w:p>
        </w:tc>
        <w:tc>
          <w:tcPr>
            <w:tcW w:w="0" w:type="auto"/>
          </w:tcPr>
          <w:p w14:paraId="150E8203"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3.5</w:t>
            </w:r>
          </w:p>
        </w:tc>
        <w:tc>
          <w:tcPr>
            <w:tcW w:w="0" w:type="auto"/>
          </w:tcPr>
          <w:p w14:paraId="689E6EA6" w14:textId="77777777" w:rsidR="00AE101A" w:rsidRPr="002A63BA" w:rsidRDefault="00AE101A" w:rsidP="00FF3EE4">
            <w:pPr>
              <w:spacing w:line="276" w:lineRule="auto"/>
              <w:rPr>
                <w:rFonts w:ascii="Open Sans" w:eastAsia="Calibri" w:hAnsi="Open Sans" w:cs="Open Sans"/>
              </w:rPr>
            </w:pPr>
            <w:r w:rsidRPr="002A63BA">
              <w:rPr>
                <w:rFonts w:ascii="Open Sans" w:hAnsi="Open Sans" w:cs="Open Sans"/>
              </w:rPr>
              <w:t>3.6</w:t>
            </w:r>
          </w:p>
        </w:tc>
      </w:tr>
    </w:tbl>
    <w:p w14:paraId="445E2F2B" w14:textId="77777777" w:rsidR="00AE101A" w:rsidRPr="002A63BA" w:rsidRDefault="00AE101A" w:rsidP="00FF3EE4">
      <w:pPr>
        <w:spacing w:line="276" w:lineRule="auto"/>
        <w:rPr>
          <w:rFonts w:ascii="Open Sans" w:hAnsi="Open Sans" w:cs="Open Sans"/>
        </w:rPr>
      </w:pPr>
    </w:p>
    <w:p w14:paraId="6C444C8D"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Regarding light pollution, all participants on average agree that light pollution is problematic and would agree with a weaker street lighting and tracking of their location for light pollution reduction. They are neutral regarding the colour of streetlights. Slovenes agree with it a bit more than Croats, but they are quite similar in their attitudes towards this. </w:t>
      </w:r>
    </w:p>
    <w:p w14:paraId="1339A573" w14:textId="77777777" w:rsidR="00AE101A" w:rsidRPr="002A63BA" w:rsidRDefault="00AE101A" w:rsidP="00FF3EE4">
      <w:pPr>
        <w:pStyle w:val="N1"/>
      </w:pPr>
      <w:r w:rsidRPr="002A63BA">
        <w:t>CONCLUSION</w:t>
      </w:r>
    </w:p>
    <w:p w14:paraId="258CF9BB" w14:textId="77777777" w:rsidR="00AE101A" w:rsidRPr="002A63BA" w:rsidRDefault="00AE101A" w:rsidP="00FF3EE4">
      <w:pPr>
        <w:spacing w:line="276" w:lineRule="auto"/>
        <w:rPr>
          <w:rFonts w:ascii="Open Sans" w:eastAsiaTheme="minorEastAsia" w:hAnsi="Open Sans" w:cs="Open Sans"/>
        </w:rPr>
      </w:pPr>
      <w:r w:rsidRPr="002A63BA">
        <w:rPr>
          <w:rFonts w:ascii="Open Sans" w:hAnsi="Open Sans" w:cs="Open Sans"/>
        </w:rPr>
        <w:t>To summarise, Slovenes and Croats are very keen on the development of smart cities and believe that the new technologies can improve their personal and work life. Nevertheless, they are more interested in using smart technologies to perform very complex tasks</w:t>
      </w:r>
      <w:r w:rsidRPr="002A63BA">
        <w:rPr>
          <w:rFonts w:ascii="Open Sans" w:eastAsiaTheme="minorEastAsia" w:hAnsi="Open Sans" w:cs="Open Sans"/>
        </w:rPr>
        <w:t xml:space="preserve"> at work, then to make important decisions for their life. Their main point of concern are security and privacy issues regarding the data collected by technologies. However, they see a great potential of smart cities for solving environmental issues </w:t>
      </w:r>
      <w:r w:rsidRPr="002A63BA">
        <w:rPr>
          <w:rFonts w:ascii="Open Sans" w:eastAsiaTheme="minorEastAsia" w:hAnsi="Open Sans" w:cs="Open Sans"/>
        </w:rPr>
        <w:lastRenderedPageBreak/>
        <w:t>and are willing to change their behaviour towards a more sustainable. Slovenes and Croats are quite similar in their perceptions and attitudes towards digitalization, sustainability, and smart cities.</w:t>
      </w:r>
    </w:p>
    <w:p w14:paraId="2C554351" w14:textId="17CD51B8" w:rsidR="00AE101A" w:rsidRPr="002A63BA" w:rsidRDefault="00FF3EE4" w:rsidP="00FF3EE4">
      <w:pPr>
        <w:pStyle w:val="Naslov1"/>
        <w:spacing w:line="276" w:lineRule="auto"/>
        <w:rPr>
          <w:rFonts w:ascii="Open Sans" w:hAnsi="Open Sans" w:cs="Open Sans"/>
          <w:caps w:val="0"/>
          <w:sz w:val="22"/>
          <w:szCs w:val="22"/>
        </w:rPr>
      </w:pPr>
      <w:r>
        <w:rPr>
          <w:rFonts w:ascii="Open Sans" w:hAnsi="Open Sans" w:cs="Open Sans"/>
          <w:caps w:val="0"/>
          <w:sz w:val="22"/>
          <w:szCs w:val="22"/>
        </w:rPr>
        <w:t>REFERENCES</w:t>
      </w:r>
    </w:p>
    <w:p w14:paraId="5E043FBC"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fldChar w:fldCharType="begin"/>
      </w:r>
      <w:r w:rsidRPr="002A63BA">
        <w:rPr>
          <w:rFonts w:ascii="Open Sans" w:hAnsi="Open Sans" w:cs="Open Sans"/>
          <w:sz w:val="22"/>
          <w:lang w:val="en-GB"/>
        </w:rPr>
        <w:instrText xml:space="preserve"> ADDIN EN.REFLIST </w:instrText>
      </w:r>
      <w:r w:rsidRPr="002A63BA">
        <w:rPr>
          <w:rFonts w:ascii="Open Sans" w:hAnsi="Open Sans" w:cs="Open Sans"/>
          <w:sz w:val="22"/>
          <w:lang w:val="en-GB"/>
        </w:rPr>
        <w:fldChar w:fldCharType="separate"/>
      </w:r>
      <w:r w:rsidRPr="002A63BA">
        <w:rPr>
          <w:rFonts w:ascii="Open Sans" w:hAnsi="Open Sans" w:cs="Open Sans"/>
          <w:sz w:val="22"/>
          <w:lang w:val="en-GB"/>
        </w:rPr>
        <w:t>Alves, B. (2022). Global smart grid investments 2014-2019: Statista.</w:t>
      </w:r>
    </w:p>
    <w:p w14:paraId="640DE9CF"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Apostol, D., Balaceanu, C., Constantinescu, E. M. (2015).</w:t>
      </w:r>
      <w:r w:rsidRPr="002A63BA">
        <w:rPr>
          <w:rFonts w:ascii="Open Sans" w:hAnsi="Open Sans" w:cs="Open Sans"/>
          <w:i/>
          <w:iCs/>
          <w:sz w:val="22"/>
          <w:lang w:val="en-GB"/>
        </w:rPr>
        <w:t xml:space="preserve"> Smart Economy Concept—Facts and Perspectives</w:t>
      </w:r>
      <w:r w:rsidRPr="002A63BA">
        <w:rPr>
          <w:rFonts w:ascii="Open Sans" w:hAnsi="Open Sans" w:cs="Open Sans"/>
          <w:sz w:val="22"/>
          <w:lang w:val="en-GB"/>
        </w:rPr>
        <w:t>. Paper presented at the International conference “European perspective of labor market-inovation, expertness, performance.</w:t>
      </w:r>
    </w:p>
    <w:p w14:paraId="04CF943A"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Calzada, I., Cobo, C. (2015). Unplugging: Deconstructing the smart city. </w:t>
      </w:r>
      <w:r w:rsidRPr="002A63BA">
        <w:rPr>
          <w:rFonts w:ascii="Open Sans" w:hAnsi="Open Sans" w:cs="Open Sans"/>
          <w:i/>
          <w:iCs/>
          <w:sz w:val="22"/>
          <w:lang w:val="en-GB"/>
        </w:rPr>
        <w:t>Journal of Urban Technology</w:t>
      </w:r>
      <w:r w:rsidRPr="002A63BA">
        <w:rPr>
          <w:rFonts w:ascii="Open Sans" w:hAnsi="Open Sans" w:cs="Open Sans"/>
          <w:sz w:val="22"/>
          <w:lang w:val="en-GB"/>
        </w:rPr>
        <w:t>, 22(1), pp. 23-43.</w:t>
      </w:r>
    </w:p>
    <w:p w14:paraId="2A76295F"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Capdevila, I., Zarlenga, M. I. (2015). Smart city or smart citizens? The Barcelona case. </w:t>
      </w:r>
      <w:r w:rsidRPr="002A63BA">
        <w:rPr>
          <w:rFonts w:ascii="Open Sans" w:hAnsi="Open Sans" w:cs="Open Sans"/>
          <w:i/>
          <w:iCs/>
          <w:sz w:val="22"/>
          <w:lang w:val="en-GB"/>
        </w:rPr>
        <w:t>Journal of Strategy and Management</w:t>
      </w:r>
      <w:r w:rsidRPr="002A63BA">
        <w:rPr>
          <w:rFonts w:ascii="Open Sans" w:hAnsi="Open Sans" w:cs="Open Sans"/>
          <w:sz w:val="22"/>
          <w:lang w:val="en-GB"/>
        </w:rPr>
        <w:t>.</w:t>
      </w:r>
    </w:p>
    <w:p w14:paraId="121DF31D"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European Commission. (2021). Transport and the Green Deal.  Available at: </w:t>
      </w:r>
      <w:hyperlink r:id="rId44" w:history="1">
        <w:r w:rsidRPr="002A63BA">
          <w:rPr>
            <w:rStyle w:val="Hiperveza"/>
            <w:rFonts w:ascii="Open Sans" w:hAnsi="Open Sans" w:cs="Open Sans"/>
            <w:sz w:val="22"/>
            <w:lang w:val="en-GB"/>
          </w:rPr>
          <w:t>https://ec.europa.eu/info/strategy/priorities-2019-2024/european-green-deal/transport-and-green-deal_en</w:t>
        </w:r>
      </w:hyperlink>
      <w:r w:rsidRPr="002A63BA">
        <w:rPr>
          <w:rFonts w:ascii="Open Sans" w:hAnsi="Open Sans" w:cs="Open Sans"/>
          <w:sz w:val="22"/>
          <w:lang w:val="en-GB"/>
        </w:rPr>
        <w:t>.</w:t>
      </w:r>
    </w:p>
    <w:p w14:paraId="22044B98"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Giffinger, R., Fertner, C., Kramar, H., Meijers, E. (2007). City-ranking of European medium-sized cities. </w:t>
      </w:r>
      <w:r w:rsidRPr="002A63BA">
        <w:rPr>
          <w:rFonts w:ascii="Open Sans" w:hAnsi="Open Sans" w:cs="Open Sans"/>
          <w:i/>
          <w:iCs/>
          <w:sz w:val="22"/>
          <w:lang w:val="en-GB"/>
        </w:rPr>
        <w:t>Cent. Reg. Sci. Vienna UT</w:t>
      </w:r>
      <w:r w:rsidRPr="002A63BA">
        <w:rPr>
          <w:rFonts w:ascii="Open Sans" w:hAnsi="Open Sans" w:cs="Open Sans"/>
          <w:sz w:val="22"/>
          <w:lang w:val="en-GB"/>
        </w:rPr>
        <w:t>, 9, pp. 1-12.</w:t>
      </w:r>
    </w:p>
    <w:p w14:paraId="19D4D891"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Haque, A. B., Bhushan, B., Dhiman, G. (2021). Conceptualizing smart city applications: Requirements, architecture, security issues, and emerging trends. </w:t>
      </w:r>
      <w:r w:rsidRPr="002A63BA">
        <w:rPr>
          <w:rFonts w:ascii="Open Sans" w:hAnsi="Open Sans" w:cs="Open Sans"/>
          <w:i/>
          <w:iCs/>
          <w:sz w:val="22"/>
          <w:lang w:val="en-GB"/>
        </w:rPr>
        <w:t>Expert Systems</w:t>
      </w:r>
      <w:r w:rsidRPr="002A63BA">
        <w:rPr>
          <w:rFonts w:ascii="Open Sans" w:hAnsi="Open Sans" w:cs="Open Sans"/>
          <w:sz w:val="22"/>
          <w:lang w:val="en-GB"/>
        </w:rPr>
        <w:t>.</w:t>
      </w:r>
    </w:p>
    <w:p w14:paraId="1584FE0E"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Hashem, I. A. T., Chang, V., Anuar, N. B., Adewole, K., Yaqoob, I., Gani, A., . . . Chiroma, H. (2016). The role of big data in smart city. </w:t>
      </w:r>
      <w:r w:rsidRPr="002A63BA">
        <w:rPr>
          <w:rFonts w:ascii="Open Sans" w:hAnsi="Open Sans" w:cs="Open Sans"/>
          <w:i/>
          <w:iCs/>
          <w:sz w:val="22"/>
          <w:lang w:val="en-GB"/>
        </w:rPr>
        <w:t>International Journal of information management</w:t>
      </w:r>
      <w:r w:rsidRPr="002A63BA">
        <w:rPr>
          <w:rFonts w:ascii="Open Sans" w:hAnsi="Open Sans" w:cs="Open Sans"/>
          <w:sz w:val="22"/>
          <w:lang w:val="en-GB"/>
        </w:rPr>
        <w:t>, 36(5), pp. 748-758.</w:t>
      </w:r>
    </w:p>
    <w:p w14:paraId="2A132E96"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Israilidis, J., Odusanya, K., Mazhar, M. U. (2021). Exploring knowledge management perspectives in smart city research: A review and future research agenda. </w:t>
      </w:r>
      <w:r w:rsidRPr="002A63BA">
        <w:rPr>
          <w:rFonts w:ascii="Open Sans" w:hAnsi="Open Sans" w:cs="Open Sans"/>
          <w:i/>
          <w:iCs/>
          <w:sz w:val="22"/>
          <w:lang w:val="en-GB"/>
        </w:rPr>
        <w:t>International Journal of Information Management</w:t>
      </w:r>
      <w:r w:rsidRPr="002A63BA">
        <w:rPr>
          <w:rFonts w:ascii="Open Sans" w:hAnsi="Open Sans" w:cs="Open Sans"/>
          <w:sz w:val="22"/>
          <w:lang w:val="en-GB"/>
        </w:rPr>
        <w:t>, 56, 101989.</w:t>
      </w:r>
    </w:p>
    <w:p w14:paraId="3CEEFF9E"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Kaginalkar, A., Kumar, S., Gargava, P., Niyogi, D. (2021). Review of urban computing in air quality management as smart city service: An integrated IoT, AI, and cloud technology perspective. </w:t>
      </w:r>
      <w:r w:rsidRPr="002A63BA">
        <w:rPr>
          <w:rFonts w:ascii="Open Sans" w:hAnsi="Open Sans" w:cs="Open Sans"/>
          <w:i/>
          <w:iCs/>
          <w:sz w:val="22"/>
          <w:lang w:val="en-GB"/>
        </w:rPr>
        <w:t>Urban Climate</w:t>
      </w:r>
      <w:r w:rsidRPr="002A63BA">
        <w:rPr>
          <w:rFonts w:ascii="Open Sans" w:hAnsi="Open Sans" w:cs="Open Sans"/>
          <w:sz w:val="22"/>
          <w:lang w:val="en-GB"/>
        </w:rPr>
        <w:t>, 39, 100972.</w:t>
      </w:r>
    </w:p>
    <w:p w14:paraId="37D1230C"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lastRenderedPageBreak/>
        <w:t xml:space="preserve">Khan, A., Aslam, S., Aurangzeb, K., Alhussein, M., Javaid, N. (2022). Multiscale modeling in smart cities: A survey on applications, current trends, and challenges. </w:t>
      </w:r>
      <w:r w:rsidRPr="002A63BA">
        <w:rPr>
          <w:rFonts w:ascii="Open Sans" w:hAnsi="Open Sans" w:cs="Open Sans"/>
          <w:i/>
          <w:iCs/>
          <w:sz w:val="22"/>
          <w:lang w:val="en-GB"/>
        </w:rPr>
        <w:t>Sustainable Cities and Society</w:t>
      </w:r>
      <w:r w:rsidRPr="002A63BA">
        <w:rPr>
          <w:rFonts w:ascii="Open Sans" w:hAnsi="Open Sans" w:cs="Open Sans"/>
          <w:sz w:val="22"/>
          <w:lang w:val="en-GB"/>
        </w:rPr>
        <w:t>, 78, 103517.</w:t>
      </w:r>
    </w:p>
    <w:p w14:paraId="6D3A443F"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Lacinák, M., Ristvej, J. (2017). Smart city, safety and security. </w:t>
      </w:r>
      <w:r w:rsidRPr="002A63BA">
        <w:rPr>
          <w:rFonts w:ascii="Open Sans" w:hAnsi="Open Sans" w:cs="Open Sans"/>
          <w:i/>
          <w:iCs/>
          <w:sz w:val="22"/>
          <w:lang w:val="en-GB"/>
        </w:rPr>
        <w:t>Procedia engineering</w:t>
      </w:r>
      <w:r w:rsidRPr="002A63BA">
        <w:rPr>
          <w:rFonts w:ascii="Open Sans" w:hAnsi="Open Sans" w:cs="Open Sans"/>
          <w:sz w:val="22"/>
          <w:lang w:val="en-GB"/>
        </w:rPr>
        <w:t>, 192, pp. 522-527.</w:t>
      </w:r>
    </w:p>
    <w:p w14:paraId="6F590A43"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Lindskog, H. (2004). S</w:t>
      </w:r>
      <w:r w:rsidRPr="002A63BA">
        <w:rPr>
          <w:rFonts w:ascii="Open Sans" w:hAnsi="Open Sans" w:cs="Open Sans"/>
          <w:i/>
          <w:iCs/>
          <w:sz w:val="22"/>
          <w:lang w:val="en-GB"/>
        </w:rPr>
        <w:t>mart communities initiatives</w:t>
      </w:r>
      <w:r w:rsidRPr="002A63BA">
        <w:rPr>
          <w:rFonts w:ascii="Open Sans" w:hAnsi="Open Sans" w:cs="Open Sans"/>
          <w:sz w:val="22"/>
          <w:lang w:val="en-GB"/>
        </w:rPr>
        <w:t>. Paper presented at the Proceedings of the 3rd ISOneWorld Conference.</w:t>
      </w:r>
    </w:p>
    <w:p w14:paraId="45EBA367"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Manfreda, A., Ljubi, K., Groznik, A. (2021). Autonomous vehicles in the smart city era: An empirical study of adoption factors important for millennials. </w:t>
      </w:r>
      <w:r w:rsidRPr="002A63BA">
        <w:rPr>
          <w:rFonts w:ascii="Open Sans" w:hAnsi="Open Sans" w:cs="Open Sans"/>
          <w:i/>
          <w:iCs/>
          <w:sz w:val="22"/>
          <w:lang w:val="en-GB"/>
        </w:rPr>
        <w:t>International Journal of Information Management</w:t>
      </w:r>
      <w:r w:rsidRPr="002A63BA">
        <w:rPr>
          <w:rFonts w:ascii="Open Sans" w:hAnsi="Open Sans" w:cs="Open Sans"/>
          <w:sz w:val="22"/>
          <w:lang w:val="en-GB"/>
        </w:rPr>
        <w:t>, 58, 102050.</w:t>
      </w:r>
    </w:p>
    <w:p w14:paraId="7BE87204"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Ruohomaa, H., Salminen, V., Kunttu, I. (2019). Towards a smart city concept in small cities.</w:t>
      </w:r>
    </w:p>
    <w:p w14:paraId="1F6B0E39"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Shukla, S., Hait, S. (2022). Smart waste management practices in smart cities: Current trends and future perspectives. </w:t>
      </w:r>
      <w:r w:rsidRPr="002A63BA">
        <w:rPr>
          <w:rFonts w:ascii="Open Sans" w:hAnsi="Open Sans" w:cs="Open Sans"/>
          <w:i/>
          <w:iCs/>
          <w:sz w:val="22"/>
          <w:lang w:val="en-GB"/>
        </w:rPr>
        <w:t>Advanced Organic Waste Management</w:t>
      </w:r>
      <w:r w:rsidRPr="002A63BA">
        <w:rPr>
          <w:rFonts w:ascii="Open Sans" w:hAnsi="Open Sans" w:cs="Open Sans"/>
          <w:sz w:val="22"/>
          <w:lang w:val="en-GB"/>
        </w:rPr>
        <w:t>, pp. 407-424.</w:t>
      </w:r>
    </w:p>
    <w:p w14:paraId="690D6377" w14:textId="77777777" w:rsidR="00AE101A" w:rsidRPr="002A63BA" w:rsidRDefault="00AE101A" w:rsidP="00D22056">
      <w:pPr>
        <w:pStyle w:val="EndNoteBibliography"/>
        <w:numPr>
          <w:ilvl w:val="0"/>
          <w:numId w:val="14"/>
        </w:numPr>
        <w:spacing w:after="0" w:line="276" w:lineRule="auto"/>
        <w:ind w:left="357" w:hanging="357"/>
        <w:rPr>
          <w:rFonts w:ascii="Open Sans" w:hAnsi="Open Sans" w:cs="Open Sans"/>
          <w:sz w:val="22"/>
          <w:lang w:val="en-GB"/>
        </w:rPr>
      </w:pPr>
      <w:r w:rsidRPr="002A63BA">
        <w:rPr>
          <w:rFonts w:ascii="Open Sans" w:hAnsi="Open Sans" w:cs="Open Sans"/>
          <w:sz w:val="22"/>
          <w:lang w:val="en-GB"/>
        </w:rPr>
        <w:t xml:space="preserve">Vanolo, A. (2014). Smartmentality: The smart city as disciplinary strategy. </w:t>
      </w:r>
      <w:r w:rsidRPr="002A63BA">
        <w:rPr>
          <w:rFonts w:ascii="Open Sans" w:hAnsi="Open Sans" w:cs="Open Sans"/>
          <w:i/>
          <w:iCs/>
          <w:sz w:val="22"/>
          <w:lang w:val="en-GB"/>
        </w:rPr>
        <w:t>Urban studies</w:t>
      </w:r>
      <w:r w:rsidRPr="002A63BA">
        <w:rPr>
          <w:rFonts w:ascii="Open Sans" w:hAnsi="Open Sans" w:cs="Open Sans"/>
          <w:sz w:val="22"/>
          <w:lang w:val="en-GB"/>
        </w:rPr>
        <w:t>, 51(5), pp. 883-898.</w:t>
      </w:r>
    </w:p>
    <w:p w14:paraId="41ADC65D" w14:textId="77777777" w:rsidR="00AE101A" w:rsidRPr="002A63BA" w:rsidRDefault="00AE101A" w:rsidP="00D22056">
      <w:pPr>
        <w:pStyle w:val="EndNoteBibliography"/>
        <w:numPr>
          <w:ilvl w:val="0"/>
          <w:numId w:val="14"/>
        </w:numPr>
        <w:spacing w:line="276" w:lineRule="auto"/>
        <w:ind w:left="357" w:hanging="357"/>
        <w:rPr>
          <w:rFonts w:ascii="Open Sans" w:hAnsi="Open Sans" w:cs="Open Sans"/>
          <w:sz w:val="22"/>
          <w:lang w:val="en-GB"/>
        </w:rPr>
      </w:pPr>
      <w:r w:rsidRPr="002A63BA">
        <w:rPr>
          <w:rFonts w:ascii="Open Sans" w:hAnsi="Open Sans" w:cs="Open Sans"/>
          <w:sz w:val="22"/>
          <w:lang w:val="en-GB"/>
        </w:rPr>
        <w:t>Woetzel, J., Remes, J., Boland, B., Lv, K., Sinha, S., Strube, G., . . . von der Tann, V. (2018). Smart cities: Digital solutions for a more livable future: McKinsey.</w:t>
      </w:r>
    </w:p>
    <w:p w14:paraId="429FBA79" w14:textId="77777777" w:rsidR="00AE101A" w:rsidRPr="002A63BA" w:rsidRDefault="00AE101A" w:rsidP="00FF3EE4">
      <w:pPr>
        <w:spacing w:line="276" w:lineRule="auto"/>
        <w:rPr>
          <w:rFonts w:ascii="Open Sans" w:hAnsi="Open Sans" w:cs="Open Sans"/>
        </w:rPr>
      </w:pPr>
      <w:r w:rsidRPr="002A63BA">
        <w:rPr>
          <w:rFonts w:ascii="Open Sans" w:hAnsi="Open Sans" w:cs="Open Sans"/>
        </w:rPr>
        <w:fldChar w:fldCharType="end"/>
      </w:r>
    </w:p>
    <w:p w14:paraId="5296D940" w14:textId="6BD65C5D" w:rsidR="00AE101A" w:rsidRPr="002A63BA" w:rsidRDefault="00AE101A" w:rsidP="00FF3EE4">
      <w:pPr>
        <w:spacing w:line="276" w:lineRule="auto"/>
        <w:rPr>
          <w:rFonts w:ascii="Open Sans" w:hAnsi="Open Sans" w:cs="Open Sans"/>
        </w:rPr>
      </w:pPr>
    </w:p>
    <w:p w14:paraId="19A257DE"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2F08489C" w14:textId="26587464" w:rsidR="00AE101A" w:rsidRPr="002A63BA" w:rsidRDefault="00AE101A" w:rsidP="00FF3EE4">
      <w:pPr>
        <w:spacing w:line="276" w:lineRule="auto"/>
        <w:rPr>
          <w:rFonts w:ascii="Open Sans" w:hAnsi="Open Sans" w:cs="Open Sans"/>
        </w:rPr>
      </w:pPr>
    </w:p>
    <w:p w14:paraId="2A75EDF5"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6C120E29" w14:textId="02E40BEB" w:rsidR="00AE101A" w:rsidRPr="00FF3EE4" w:rsidRDefault="00AE101A" w:rsidP="00FF3EE4">
      <w:pPr>
        <w:spacing w:line="276" w:lineRule="auto"/>
        <w:jc w:val="center"/>
        <w:rPr>
          <w:rFonts w:ascii="Open Sans" w:hAnsi="Open Sans" w:cs="Open Sans"/>
          <w:b/>
          <w:caps/>
          <w:sz w:val="24"/>
          <w:szCs w:val="24"/>
        </w:rPr>
      </w:pPr>
      <w:r w:rsidRPr="002A63BA">
        <w:rPr>
          <w:rFonts w:ascii="Open Sans" w:hAnsi="Open Sans" w:cs="Open Sans"/>
          <w:b/>
          <w:caps/>
          <w:sz w:val="24"/>
          <w:szCs w:val="24"/>
        </w:rPr>
        <w:lastRenderedPageBreak/>
        <w:t>Challenges of managing a smart city: analysis of business students’ perceptions</w:t>
      </w:r>
    </w:p>
    <w:p w14:paraId="1B766EF0" w14:textId="73304E6D" w:rsidR="00AE101A" w:rsidRPr="002A63BA" w:rsidRDefault="002E71B6" w:rsidP="00FF3EE4">
      <w:pPr>
        <w:pStyle w:val="N1"/>
      </w:pPr>
      <w:r w:rsidRPr="002A63BA">
        <w:t>Introduction</w:t>
      </w:r>
    </w:p>
    <w:p w14:paraId="298AB040"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Over time the cities are becoming increasingly populated and about 2/3 of global population is expected to live in urban areas by 2050 (United Nations Population Fund in Hickman, Pierson &amp; Comstock, 2021). From the inhabitants’ perspective, the penetration of new technologies (i.e. cloud-based technology, Internet of Things/sensors/wearables, mobile apps, biometrics/facial recognition, chatbots/natural language processing, </w:t>
      </w:r>
      <w:hyperlink r:id="rId45" w:anchor="5_virtual_reality_and_augmented_reality" w:tooltip="5. Virtual Reality and Augmented Reality" w:history="1">
        <w:r w:rsidRPr="002A63BA">
          <w:rPr>
            <w:rFonts w:ascii="Open Sans" w:hAnsi="Open Sans" w:cs="Open Sans"/>
          </w:rPr>
          <w:t>virtual and augmented reality</w:t>
        </w:r>
      </w:hyperlink>
      <w:r w:rsidRPr="002A63BA">
        <w:rPr>
          <w:rFonts w:ascii="Open Sans" w:hAnsi="Open Sans" w:cs="Open Sans"/>
        </w:rPr>
        <w:t xml:space="preserve">, </w:t>
      </w:r>
      <w:hyperlink r:id="rId46" w:anchor="1_artificial_intelligence_ai_and_machine_learning" w:tooltip="1. Artificial Intelligence (AI) and Machine Learning" w:history="1">
        <w:r w:rsidRPr="002A63BA">
          <w:rPr>
            <w:rFonts w:ascii="Open Sans" w:hAnsi="Open Sans" w:cs="Open Sans"/>
          </w:rPr>
          <w:t>artificial intelligence and  machine learning</w:t>
        </w:r>
      </w:hyperlink>
      <w:r w:rsidRPr="002A63BA">
        <w:rPr>
          <w:rFonts w:ascii="Open Sans" w:hAnsi="Open Sans" w:cs="Open Sans"/>
        </w:rPr>
        <w:t>, smart beacons/near field communication, drones and robots, blockchain,  etc…) in societies is the trigger for their higher adoption of the novel services provided by these technologies. However, implementation of new technologies also brings with it challenges that for older generations more difficult are to adjust (Garbin Praničević et al, 2017), whereas the younger generation grows up with contemporary technology (Peterlin &amp; Valentinčič, 2021). Such technology is moreover seriously considered as main driving force that establishes and maintains a smart city to deliver the promised and most accepted services (Smart City Use Cases &amp; Technology Adoption Report 2020, 2021) like connected public transport, traffic monitoring and management, water level/flood monitoring, video surveillance and analytics, connected streetlights, weather monitoring, air quality/pollution monitoring, smart metering-water, fire/smoke detection and water quality monitoring.</w:t>
      </w:r>
    </w:p>
    <w:p w14:paraId="48985088" w14:textId="77777777" w:rsidR="00AE101A" w:rsidRPr="002A63BA" w:rsidRDefault="00AE101A" w:rsidP="00FF3EE4">
      <w:pPr>
        <w:spacing w:line="276" w:lineRule="auto"/>
        <w:rPr>
          <w:rFonts w:ascii="Open Sans" w:hAnsi="Open Sans" w:cs="Open Sans"/>
          <w:color w:val="222222"/>
          <w:shd w:val="clear" w:color="auto" w:fill="FFFFFF"/>
        </w:rPr>
      </w:pPr>
      <w:r w:rsidRPr="002A63BA">
        <w:rPr>
          <w:rFonts w:ascii="Open Sans" w:hAnsi="Open Sans" w:cs="Open Sans"/>
        </w:rPr>
        <w:t xml:space="preserve">In general, smart cities, are cities that develop and grow at the same time. Over time different profiles of professionals thought about and now already know how to effectively use the data and digital technologies to plan and manage its core functions to become and remain efficient, innovative, inclusive and resilient. Smart cities contain an indefinite number of different technologies that affect the quality of provided city services and consequently improve the quality of the citizens lives </w:t>
      </w:r>
      <w:r w:rsidRPr="002A63BA">
        <w:rPr>
          <w:rFonts w:ascii="Open Sans" w:hAnsi="Open Sans" w:cs="Open Sans"/>
        </w:rPr>
        <w:lastRenderedPageBreak/>
        <w:t>(Kirimtat et al., 2020). The integration of digital technologies, especially artificial intelligence, into urban systems and services presents new opportunities for bringing the city closer to its citizens (</w:t>
      </w:r>
      <w:r w:rsidRPr="002A63BA">
        <w:rPr>
          <w:rFonts w:ascii="Open Sans" w:hAnsi="Open Sans" w:cs="Open Sans"/>
          <w:color w:val="222222"/>
          <w:shd w:val="clear" w:color="auto" w:fill="FFFFFF"/>
        </w:rPr>
        <w:t>World Economic Forum, 2020</w:t>
      </w:r>
      <w:r w:rsidRPr="002A63BA">
        <w:rPr>
          <w:rFonts w:ascii="Open Sans" w:hAnsi="Open Sans" w:cs="Open Sans"/>
        </w:rPr>
        <w:t>). Although there is still not a unified standard to measure which technology, in what size, represents a “smart city”, the smart cities are in general considered as digitalized cities that follow the goals of sustainability standards set by local, national and international standards to improve public services and achieving sustainable development (Slišković &amp; Vrhovec, 2019). In such context, digital technologies manage extensive information to produce smart solutions such as smart city platform, to track and measure real-time demand for public transport organization based on real-time demand or to reduce the cost of urban information management (Zhang, 2019).</w:t>
      </w:r>
    </w:p>
    <w:p w14:paraId="16563D9C"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Moreover, a smart city systematically applies digital technologies to improve the quality of life in the city, reduces resource consumption, and increases the competitiveness of the regional economy in a long-term sustainable way. Therefore, smart city uses intelligent solutions for energy, housing, infrastructure, mobility, services and security, solutions based on integrated sensor technology, linking data analysis and other related value-added processes. From the operational aspect, smart cities have provided many projects to implement smart solutions for: waste management, reducing traffic congestion, increasing citizen safety, affordable housing, water management, smart building management, energy efficiency, renewable energy use, citizen participation in city development, and various consultations. As expected, the projects that turn a city into a smart city are mostly complex and require new competencies of all stakeholders, such as understanding the impact of the application of digital technologies within urban development and the ability to develop integrated solutions that transcend existing boundaries (Gassmann et al., 2019).   </w:t>
      </w:r>
    </w:p>
    <w:p w14:paraId="0586591A"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Moreover, such projects, upon implementation transform in core components of smart cities like (Habibzadeh et al., 2019): </w:t>
      </w:r>
    </w:p>
    <w:p w14:paraId="0E14DC3E"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lastRenderedPageBreak/>
        <w:t>Smart Environments</w:t>
      </w:r>
      <w:r w:rsidRPr="002A63BA">
        <w:rPr>
          <w:rFonts w:ascii="Open Sans" w:hAnsi="Open Sans" w:cs="Open Sans"/>
        </w:rPr>
        <w:t xml:space="preserve"> based on applications that provide a physical setup equipped with a large number of dedicated and non-dedicated sensors, screens, drivers and processor-powered components that are smartly integrated with everyday objects and connected via a network platform. The main factors for achieving a smart environment are adaptability, autonomy and effective communication with users;</w:t>
      </w:r>
    </w:p>
    <w:p w14:paraId="5151E6ED"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Homes and Buildings</w:t>
      </w:r>
      <w:r w:rsidRPr="002A63BA">
        <w:rPr>
          <w:rFonts w:ascii="Open Sans" w:hAnsi="Open Sans" w:cs="Open Sans"/>
        </w:rPr>
        <w:t xml:space="preserve"> focused on creating a comfortable home environment by controlling certain elements such as energy management through a system that aims to reduce electricity bills by turning off certain appliances at peak times;</w:t>
      </w:r>
    </w:p>
    <w:p w14:paraId="4E14F8F9"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Surveillance</w:t>
      </w:r>
      <w:r w:rsidRPr="002A63BA">
        <w:rPr>
          <w:rFonts w:ascii="Open Sans" w:hAnsi="Open Sans" w:cs="Open Sans"/>
        </w:rPr>
        <w:t xml:space="preserve"> focuses on the gradual but continuous reduction of sensor power consumption driven by the development of sensor technologies that has enabled the use of various surveillance services;</w:t>
      </w:r>
    </w:p>
    <w:p w14:paraId="15A0515C"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Transportation and Driving</w:t>
      </w:r>
      <w:r w:rsidRPr="002A63BA">
        <w:rPr>
          <w:rFonts w:ascii="Open Sans" w:hAnsi="Open Sans" w:cs="Open Sans"/>
        </w:rPr>
        <w:t xml:space="preserve"> includes vehicles equipped with sensory, communication, computing and process capabilities to improve safety, quality of service and efficiency;</w:t>
      </w:r>
    </w:p>
    <w:p w14:paraId="425DF549"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Health</w:t>
      </w:r>
      <w:r w:rsidRPr="002A63BA">
        <w:rPr>
          <w:rFonts w:ascii="Open Sans" w:hAnsi="Open Sans" w:cs="Open Sans"/>
        </w:rPr>
        <w:t xml:space="preserve"> seeks to provide health services that will improve the quality of life with the help of applications that use various sensors and actuators, as well as connecting sensory data with the analyst;</w:t>
      </w:r>
    </w:p>
    <w:p w14:paraId="2997DA92"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Lighting</w:t>
      </w:r>
      <w:r w:rsidRPr="002A63BA">
        <w:rPr>
          <w:rFonts w:ascii="Open Sans" w:hAnsi="Open Sans" w:cs="Open Sans"/>
        </w:rPr>
        <w:t xml:space="preserve"> focuses on LED-based light sources adjust and harmonize spectral power and spatial distribution, time modulation and polarization, and color temperature. Adaptive light intensity control and the use of flashing traffic signs to warn drivers of danger are examples of popular smart lighting technology;</w:t>
      </w:r>
    </w:p>
    <w:p w14:paraId="41A8DFD7"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Parking</w:t>
      </w:r>
      <w:r w:rsidRPr="002A63BA">
        <w:rPr>
          <w:rFonts w:ascii="Open Sans" w:hAnsi="Open Sans" w:cs="Open Sans"/>
        </w:rPr>
        <w:t xml:space="preserve"> seeks to reduce the negative impact on the environment and finances by using a smart parking system based on the installation of road sensors or the installation of light sensors and cameras known as field sensors;</w:t>
      </w:r>
    </w:p>
    <w:p w14:paraId="06A01BEB" w14:textId="77777777" w:rsidR="00AE101A" w:rsidRPr="002A63BA" w:rsidRDefault="00AE101A" w:rsidP="00FF3EE4">
      <w:pPr>
        <w:pStyle w:val="Odlomakpopisa"/>
        <w:numPr>
          <w:ilvl w:val="0"/>
          <w:numId w:val="18"/>
        </w:numPr>
        <w:spacing w:line="276" w:lineRule="auto"/>
        <w:rPr>
          <w:rFonts w:ascii="Open Sans" w:hAnsi="Open Sans" w:cs="Open Sans"/>
        </w:rPr>
      </w:pPr>
      <w:r w:rsidRPr="002A63BA">
        <w:rPr>
          <w:rFonts w:ascii="Open Sans" w:hAnsi="Open Sans" w:cs="Open Sans"/>
          <w:i/>
        </w:rPr>
        <w:t>Smart Grid</w:t>
      </w:r>
      <w:r w:rsidRPr="002A63BA">
        <w:rPr>
          <w:rFonts w:ascii="Open Sans" w:hAnsi="Open Sans" w:cs="Open Sans"/>
        </w:rPr>
        <w:t xml:space="preserve"> is an electrical grid infrastructure that uses data to create real-time models that participate in maintaining optimal grid status. The data may include information on energy produced </w:t>
      </w:r>
      <w:r w:rsidRPr="002A63BA">
        <w:rPr>
          <w:rFonts w:ascii="Open Sans" w:hAnsi="Open Sans" w:cs="Open Sans"/>
        </w:rPr>
        <w:lastRenderedPageBreak/>
        <w:t>and consumed, performance characteristics of distribution lines or availability of energy sources.</w:t>
      </w:r>
    </w:p>
    <w:p w14:paraId="475BAD8F" w14:textId="77777777" w:rsidR="00AE101A" w:rsidRPr="002A63BA" w:rsidRDefault="00AE101A" w:rsidP="00FF3EE4">
      <w:pPr>
        <w:spacing w:line="276" w:lineRule="auto"/>
        <w:rPr>
          <w:rFonts w:ascii="Open Sans" w:hAnsi="Open Sans" w:cs="Open Sans"/>
        </w:rPr>
      </w:pPr>
      <w:r w:rsidRPr="002A63BA">
        <w:rPr>
          <w:rFonts w:ascii="Open Sans" w:hAnsi="Open Sans" w:cs="Open Sans"/>
        </w:rPr>
        <w:t>On the other side, Giourka et al. (2019) stressed out that the introduction of new technologies will not be effective if citizens do not adopt them and get involved in further activities. Evidently, smart cities concepts are slowly, but surely become in the focus of various research interests mainly due to added values manifested in (i) better use of public resources, (ii) improved the quality of services offered to the citizens (Bondarenko, Oleynik, Biryukov, Tarando, &amp; Malinina, 2020) and (iii) reduction of the public administration operational cost (Medina, Pérez, &amp; Trujillo, 2017). The smart solution manufacturers on the one side and decision-making authorities on the other side are both responsible stakeholders for ensuring the security of a deployed system, especially for the reason that security is recognized as the weakest link in the implementation of a smart city (Ijaz, Shah, Khan, &amp; Mansoor Ahmed, 2016).</w:t>
      </w:r>
    </w:p>
    <w:p w14:paraId="55D9D72F" w14:textId="01A9ED4C" w:rsidR="00AE101A" w:rsidRPr="002A63BA" w:rsidRDefault="00AE101A" w:rsidP="00FF3EE4">
      <w:pPr>
        <w:spacing w:line="276" w:lineRule="auto"/>
        <w:rPr>
          <w:rFonts w:ascii="Open Sans" w:hAnsi="Open Sans" w:cs="Open Sans"/>
        </w:rPr>
      </w:pPr>
      <w:r w:rsidRPr="002A63BA">
        <w:rPr>
          <w:rFonts w:ascii="Open Sans" w:hAnsi="Open Sans" w:cs="Open Sans"/>
        </w:rPr>
        <w:t>Accordingly, it seems as reasonable to call the educators to upgrade the study programs with competencies that will enable young people (pupils, students, online course attendees…) to be more, primarily, informed, and then included as users and/or creators of smart cities services as part of their professional engagements.</w:t>
      </w:r>
    </w:p>
    <w:p w14:paraId="21210396" w14:textId="77777777" w:rsidR="00AE101A" w:rsidRPr="002A63BA" w:rsidRDefault="00AE101A" w:rsidP="00FF3EE4">
      <w:pPr>
        <w:pStyle w:val="N1"/>
      </w:pPr>
      <w:r w:rsidRPr="002A63BA">
        <w:t xml:space="preserve">Sinergy of education institutions output and smart cities development </w:t>
      </w:r>
    </w:p>
    <w:p w14:paraId="0A935F5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Following the above, we argue that role of university in knowledge management of smart city project is multiple. Moreover, in line with Ardito et al. (2019) the universities should act as knowledge intermediaries, knowledge gatekeepers, knowledge providers, and knowledge evaluators. On the same trace, Ferraris et al. (2020, p. 168) have classified the university's role in the development of the smart city ecosystem: a) “source of academic and practical knowledge (knowledge bank) – ready to enable  provision and development of training programs </w:t>
      </w:r>
      <w:r w:rsidRPr="002A63BA">
        <w:rPr>
          <w:rFonts w:ascii="Open Sans" w:hAnsi="Open Sans" w:cs="Open Sans"/>
        </w:rPr>
        <w:lastRenderedPageBreak/>
        <w:t>that meet the standards of education of the “smart” city; interactive learning, accessibility of scientific literature in the mode of remote access; b) Supplier of qualified personnel – ready to enable training of specialists able to carry out innovative, managerial activities in the field of solving problems of an “intelligent” city; c) Developer – ready to providing opportunities for scientific and innovative activities, developing new business ideas, projects, technologies, for example, in the field of “Internet of Things”; d) Educational environment – ready to promote the culture of the “creative class”, the formation of new cultural values; e) Financial Mediation – ready to enable financing of the projects through helping in the presentation of smart city research proposals to national or supranational funds”</w:t>
      </w:r>
    </w:p>
    <w:p w14:paraId="52BD823E" w14:textId="77777777" w:rsidR="00AE101A" w:rsidRPr="002A63BA" w:rsidRDefault="00AE101A" w:rsidP="00FF3EE4">
      <w:pPr>
        <w:spacing w:line="276" w:lineRule="auto"/>
        <w:rPr>
          <w:rFonts w:ascii="Open Sans" w:hAnsi="Open Sans" w:cs="Open Sans"/>
        </w:rPr>
      </w:pPr>
      <w:r w:rsidRPr="002A63BA">
        <w:rPr>
          <w:rFonts w:ascii="Open Sans" w:hAnsi="Open Sans" w:cs="Open Sans"/>
        </w:rPr>
        <w:t>Caldwell, Foth, and Guaralda (2013, p. 7) redefine spaces of learning to places of learning through the direct engagement of local communities as a way to examine and learn from real world issues in the city. The key goal is to promote the generation and exchange of urban design ideas for the future development, informing the creation of new design policies responding to the needs of local citizens. The implementation of urban informatics techniques and approaches promoted innovative engagement strategies. Urban informatics provides an innovative opportunity to enrich students’ place of learning within the city.</w:t>
      </w:r>
    </w:p>
    <w:p w14:paraId="1A459BD2" w14:textId="53BC2C76" w:rsidR="00AE101A" w:rsidRPr="002A63BA" w:rsidRDefault="00AE101A" w:rsidP="00FF3EE4">
      <w:pPr>
        <w:spacing w:line="276" w:lineRule="auto"/>
        <w:rPr>
          <w:rFonts w:ascii="Open Sans" w:hAnsi="Open Sans" w:cs="Open Sans"/>
        </w:rPr>
      </w:pPr>
      <w:r w:rsidRPr="002A63BA">
        <w:rPr>
          <w:rFonts w:ascii="Open Sans" w:hAnsi="Open Sans" w:cs="Open Sans"/>
        </w:rPr>
        <w:t xml:space="preserve">Upon literature review, we claim that ongoing study programme upgrades should certainly provide students with relevant learning outputs i.e competencies to cope with certain up to date evident smart cities weakness, as follows: (i) the lack of uniform standards is necessary for the interoperability of city elements (Bašić et al., 2019), (ii) the lack of a regulatory framework for the wider adoption of smart city services in practice (Weber &amp; Podnar, 2019), (iii) the conflicts when economic interests become more represented than environmental and social interests (Trencher, 2019), (iv) threat to privacy, censorship, surveillance and manipulation due to incomplete control and ownership of the user's account (Heitlinger et al., 2019) and (v) ethical issues concerning data </w:t>
      </w:r>
      <w:r w:rsidRPr="002A63BA">
        <w:rPr>
          <w:rFonts w:ascii="Open Sans" w:hAnsi="Open Sans" w:cs="Open Sans"/>
        </w:rPr>
        <w:lastRenderedPageBreak/>
        <w:t>privacy, data surveillance and location monitoring, cameras in public spaces (Kitchen et al., 2019).</w:t>
      </w:r>
    </w:p>
    <w:p w14:paraId="7B77870D" w14:textId="77777777" w:rsidR="00AE101A" w:rsidRPr="002A63BA" w:rsidRDefault="00AE101A" w:rsidP="00FF3EE4">
      <w:pPr>
        <w:pStyle w:val="N1"/>
      </w:pPr>
      <w:r w:rsidRPr="002A63BA">
        <w:t>Method</w:t>
      </w:r>
    </w:p>
    <w:p w14:paraId="3384EDAB" w14:textId="77777777" w:rsidR="00AE101A" w:rsidRPr="002A63BA" w:rsidRDefault="00AE101A" w:rsidP="00FF3EE4">
      <w:pPr>
        <w:spacing w:line="276" w:lineRule="auto"/>
        <w:rPr>
          <w:rFonts w:ascii="Open Sans" w:hAnsi="Open Sans" w:cs="Open Sans"/>
        </w:rPr>
      </w:pPr>
      <w:r w:rsidRPr="002A63BA">
        <w:rPr>
          <w:rFonts w:ascii="Open Sans" w:hAnsi="Open Sans" w:cs="Open Sans"/>
        </w:rPr>
        <w:t>We distributed an online survey to business students at the University of Ljubljana and University of Split. 142 students answered our questions, which focused on what is their perception towards smart cities. 43% of respondents were from University of Split and 57% from the University of Ljubljana. The sample is composed of students aged 18-26 (18 years old students representing 7,1%; 19 years old students representing 26,2%; 20 years old students representing 17%; 21 years old students representing 12,1%; 22 years old students representing 10,6%; 23-years old students representing 7,8%, 24 years old students representing 10,6%; 25 years old students representing 6,4% and 26 years old students representing 2,1%). Out of 142 students, 60,6% were female and 37,3 male, while the rest preferred not to say.</w:t>
      </w:r>
    </w:p>
    <w:p w14:paraId="13E0E26D" w14:textId="3C5EE374" w:rsidR="00AE101A" w:rsidRPr="00FF3EE4" w:rsidRDefault="00AE101A" w:rsidP="00FF3EE4">
      <w:pPr>
        <w:spacing w:line="276" w:lineRule="auto"/>
        <w:rPr>
          <w:rFonts w:ascii="Open Sans" w:hAnsi="Open Sans" w:cs="Open Sans"/>
          <w:lang w:val="sl-SI"/>
        </w:rPr>
      </w:pPr>
      <w:r w:rsidRPr="002A63BA">
        <w:rPr>
          <w:rFonts w:ascii="Open Sans" w:hAnsi="Open Sans" w:cs="Open Sans"/>
        </w:rPr>
        <w:t>We adjusted survey questions (SQs) based on several survey questionnaires, such as: 1) questions “</w:t>
      </w:r>
      <w:r w:rsidRPr="002A63BA">
        <w:rPr>
          <w:rFonts w:ascii="Open Sans" w:hAnsi="Open Sans" w:cs="Open Sans"/>
          <w:lang w:val="sl-SI"/>
        </w:rPr>
        <w:t>Which mode of transport is most useful for you?«;</w:t>
      </w:r>
      <w:r w:rsidRPr="002A63BA">
        <w:rPr>
          <w:rFonts w:ascii="Open Sans" w:hAnsi="Open Sans" w:cs="Open Sans"/>
        </w:rPr>
        <w:t xml:space="preserve"> </w:t>
      </w:r>
      <w:r w:rsidRPr="002A63BA">
        <w:rPr>
          <w:rFonts w:ascii="Open Sans" w:hAnsi="Open Sans" w:cs="Open Sans"/>
          <w:lang w:val="sl-SI"/>
        </w:rPr>
        <w:t>»Which technology have you already used (more answers are possible)?«; were taken from survey Smart cities – UK city officials survey (CBRE Research, 2018); 2)</w:t>
      </w:r>
      <w:r w:rsidRPr="002A63BA">
        <w:rPr>
          <w:rFonts w:ascii="Open Sans" w:hAnsi="Open Sans" w:cs="Open Sans"/>
        </w:rPr>
        <w:t xml:space="preserve"> question “</w:t>
      </w:r>
      <w:r w:rsidRPr="002A63BA">
        <w:rPr>
          <w:rFonts w:ascii="Open Sans" w:hAnsi="Open Sans" w:cs="Open Sans"/>
          <w:lang w:val="sl-SI"/>
        </w:rPr>
        <w:t>What do you see as the top-three forms of mobility in your city in the next five years?)«; »Would you be willing to trade reduced privacy for better services?«; »How comfortable are you personally with sharing/allowing access to your personal data for the purposes of developing smart city technology?« and »What do you think are the biggest obstacles to smart city implementation?« were taken from a survey from Hickman, Pierson and Comstock (2021); 3) question »Which smart city applications are you familiar with?« (Lawhead, 2017); 4)</w:t>
      </w:r>
      <w:r w:rsidRPr="002A63BA">
        <w:rPr>
          <w:rFonts w:ascii="Open Sans" w:hAnsi="Open Sans" w:cs="Open Sans"/>
        </w:rPr>
        <w:t xml:space="preserve"> </w:t>
      </w:r>
      <w:r w:rsidRPr="002A63BA">
        <w:rPr>
          <w:rFonts w:ascii="Open Sans" w:hAnsi="Open Sans" w:cs="Open Sans"/>
          <w:lang w:val="sl-SI"/>
        </w:rPr>
        <w:t xml:space="preserve">question »If you would be a businessman/woman what would be the top three technologies you would invest in the next two years?« (Team TTR, 2018);  and 5) questions »Do you expect the following technology suppliers will enable the digital </w:t>
      </w:r>
      <w:r w:rsidRPr="002A63BA">
        <w:rPr>
          <w:rFonts w:ascii="Open Sans" w:hAnsi="Open Sans" w:cs="Open Sans"/>
          <w:lang w:val="sl-SI"/>
        </w:rPr>
        <w:lastRenderedPageBreak/>
        <w:t>transformation that will help create smart cities? (1-very low trust in their ability; 5-very high trust in their ability); and »Which technologies will take off in smart cities of the future??« (Pradeep, 2017).</w:t>
      </w:r>
    </w:p>
    <w:p w14:paraId="355B3103" w14:textId="77777777" w:rsidR="00AE101A" w:rsidRPr="002A63BA" w:rsidRDefault="00AE101A" w:rsidP="00FF3EE4">
      <w:pPr>
        <w:pStyle w:val="N1"/>
      </w:pPr>
      <w:r w:rsidRPr="002A63BA">
        <w:t>Findings</w:t>
      </w:r>
    </w:p>
    <w:p w14:paraId="06740986" w14:textId="77777777" w:rsidR="00AE101A" w:rsidRPr="002A63BA" w:rsidRDefault="00AE101A" w:rsidP="00FF3EE4">
      <w:pPr>
        <w:spacing w:line="276" w:lineRule="auto"/>
        <w:rPr>
          <w:rFonts w:ascii="Open Sans" w:hAnsi="Open Sans" w:cs="Open Sans"/>
        </w:rPr>
      </w:pPr>
      <w:r w:rsidRPr="002A63BA">
        <w:rPr>
          <w:rFonts w:ascii="Open Sans" w:hAnsi="Open Sans" w:cs="Open Sans"/>
        </w:rPr>
        <w:t>Bellow we present the key findings of our study. In our first question we were interested to know which mode of transport is most useful for our students and the results show (Figure 1) that students mostly use personal vehicle (67,7%). This can be understood in the light of the need to promote and develop public transport in smart cities more and make it accessible and desirable for young people. One need is saving money and the other reason is saving the planet due to pollution.</w:t>
      </w:r>
    </w:p>
    <w:p w14:paraId="2C9E0D75" w14:textId="77777777" w:rsidR="00AE101A" w:rsidRPr="002A63BA" w:rsidRDefault="00AE101A" w:rsidP="00FF3EE4">
      <w:pPr>
        <w:spacing w:line="276" w:lineRule="auto"/>
        <w:rPr>
          <w:rFonts w:ascii="Open Sans" w:hAnsi="Open Sans" w:cs="Open Sans"/>
        </w:rPr>
      </w:pPr>
      <w:r w:rsidRPr="002A63BA">
        <w:rPr>
          <w:rFonts w:ascii="Open Sans" w:hAnsi="Open Sans" w:cs="Open Sans"/>
          <w:noProof/>
          <w:lang w:val="hr-HR" w:eastAsia="hr-HR"/>
        </w:rPr>
        <w:drawing>
          <wp:inline distT="0" distB="0" distL="0" distR="0" wp14:anchorId="3458B57E" wp14:editId="391BE169">
            <wp:extent cx="4671695" cy="1883147"/>
            <wp:effectExtent l="0" t="0" r="0" b="3175"/>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cstate="screen">
                      <a:extLst>
                        <a:ext uri="{28A0092B-C50C-407E-A947-70E740481C1C}">
                          <a14:useLocalDpi xmlns:a14="http://schemas.microsoft.com/office/drawing/2010/main"/>
                        </a:ext>
                      </a:extLst>
                    </a:blip>
                    <a:srcRect/>
                    <a:stretch/>
                  </pic:blipFill>
                  <pic:spPr bwMode="auto">
                    <a:xfrm>
                      <a:off x="0" y="0"/>
                      <a:ext cx="4681404" cy="1887061"/>
                    </a:xfrm>
                    <a:prstGeom prst="rect">
                      <a:avLst/>
                    </a:prstGeom>
                    <a:ln>
                      <a:noFill/>
                    </a:ln>
                    <a:extLst>
                      <a:ext uri="{53640926-AAD7-44D8-BBD7-CCE9431645EC}">
                        <a14:shadowObscured xmlns:a14="http://schemas.microsoft.com/office/drawing/2010/main"/>
                      </a:ext>
                    </a:extLst>
                  </pic:spPr>
                </pic:pic>
              </a:graphicData>
            </a:graphic>
          </wp:inline>
        </w:drawing>
      </w:r>
    </w:p>
    <w:p w14:paraId="467708B0"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1. SQ </w:t>
      </w:r>
      <w:r w:rsidRPr="002A63BA">
        <w:rPr>
          <w:rFonts w:ascii="Open Sans" w:hAnsi="Open Sans" w:cs="Open Sans"/>
          <w:i/>
          <w:iCs/>
        </w:rPr>
        <w:t>“</w:t>
      </w:r>
      <w:r w:rsidRPr="002A63BA">
        <w:rPr>
          <w:rFonts w:ascii="Open Sans" w:hAnsi="Open Sans" w:cs="Open Sans"/>
          <w:i/>
          <w:iCs/>
          <w:lang w:val="sl-SI"/>
        </w:rPr>
        <w:t>Which mode of transport is most useful for you?</w:t>
      </w:r>
      <w:r w:rsidRPr="002A63BA">
        <w:rPr>
          <w:rFonts w:ascii="Open Sans" w:hAnsi="Open Sans" w:cs="Open Sans"/>
          <w:i/>
          <w:iCs/>
        </w:rPr>
        <w:t>“</w:t>
      </w:r>
      <w:r w:rsidRPr="002A63BA">
        <w:rPr>
          <w:rFonts w:ascii="Open Sans" w:hAnsi="Open Sans" w:cs="Open Sans"/>
        </w:rPr>
        <w:t xml:space="preserve"> (Author research, n=142)</w:t>
      </w:r>
    </w:p>
    <w:p w14:paraId="5F9510D7"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As top-three forms of mobility in their cities in the next five years students expect to see growing role of public transportation, personal vehicle and biking (Figure 2). Several initiatives have already been implemented in terms of implementing renting bikes, micro mobility stations and car-sharing schemes in some of the Slovenian as well as Croatian cities. </w:t>
      </w:r>
    </w:p>
    <w:p w14:paraId="74B3FE31" w14:textId="77777777" w:rsidR="00AE101A" w:rsidRPr="002A63BA" w:rsidRDefault="00AE101A" w:rsidP="00FF3EE4">
      <w:pPr>
        <w:spacing w:line="276" w:lineRule="auto"/>
        <w:rPr>
          <w:rFonts w:ascii="Open Sans" w:hAnsi="Open Sans" w:cs="Open Sans"/>
        </w:rPr>
      </w:pPr>
      <w:r w:rsidRPr="002A63BA">
        <w:rPr>
          <w:rFonts w:ascii="Open Sans" w:hAnsi="Open Sans" w:cs="Open Sans"/>
          <w:noProof/>
          <w:lang w:val="hr-HR" w:eastAsia="hr-HR"/>
        </w:rPr>
        <w:lastRenderedPageBreak/>
        <w:drawing>
          <wp:inline distT="0" distB="0" distL="0" distR="0" wp14:anchorId="4CC8AF50" wp14:editId="4E77B969">
            <wp:extent cx="4729406" cy="1844664"/>
            <wp:effectExtent l="0" t="0" r="0" b="381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4771908" cy="1861242"/>
                    </a:xfrm>
                    <a:prstGeom prst="rect">
                      <a:avLst/>
                    </a:prstGeom>
                    <a:ln>
                      <a:noFill/>
                    </a:ln>
                    <a:extLst>
                      <a:ext uri="{53640926-AAD7-44D8-BBD7-CCE9431645EC}">
                        <a14:shadowObscured xmlns:a14="http://schemas.microsoft.com/office/drawing/2010/main"/>
                      </a:ext>
                    </a:extLst>
                  </pic:spPr>
                </pic:pic>
              </a:graphicData>
            </a:graphic>
          </wp:inline>
        </w:drawing>
      </w:r>
      <w:r w:rsidRPr="002A63BA">
        <w:rPr>
          <w:rFonts w:ascii="Open Sans" w:hAnsi="Open Sans" w:cs="Open Sans"/>
        </w:rPr>
        <w:t xml:space="preserve"> Figure 2. SQ </w:t>
      </w:r>
      <w:r w:rsidRPr="002A63BA">
        <w:rPr>
          <w:rFonts w:ascii="Open Sans" w:hAnsi="Open Sans" w:cs="Open Sans"/>
          <w:i/>
          <w:iCs/>
        </w:rPr>
        <w:t>“</w:t>
      </w:r>
      <w:r w:rsidRPr="002A63BA">
        <w:rPr>
          <w:rFonts w:ascii="Open Sans" w:hAnsi="Open Sans" w:cs="Open Sans"/>
          <w:i/>
          <w:iCs/>
          <w:lang w:val="sl-SI"/>
        </w:rPr>
        <w:t>What do you see as the top-three forms of mobility in your city in the next five years?</w:t>
      </w:r>
      <w:r w:rsidRPr="002A63BA">
        <w:rPr>
          <w:rFonts w:ascii="Open Sans" w:hAnsi="Open Sans" w:cs="Open Sans"/>
          <w:i/>
          <w:iCs/>
        </w:rPr>
        <w:t>“</w:t>
      </w:r>
      <w:r w:rsidRPr="002A63BA">
        <w:rPr>
          <w:rFonts w:ascii="Open Sans" w:hAnsi="Open Sans" w:cs="Open Sans"/>
        </w:rPr>
        <w:t xml:space="preserve"> (Author research, n=142)</w:t>
      </w:r>
    </w:p>
    <w:p w14:paraId="382B81D5" w14:textId="77777777" w:rsidR="00AE101A" w:rsidRPr="002A63BA" w:rsidRDefault="00AE101A" w:rsidP="00FF3EE4">
      <w:pPr>
        <w:spacing w:line="276" w:lineRule="auto"/>
        <w:rPr>
          <w:rFonts w:ascii="Open Sans" w:hAnsi="Open Sans" w:cs="Open Sans"/>
        </w:rPr>
      </w:pPr>
      <w:r w:rsidRPr="002A63BA">
        <w:rPr>
          <w:rFonts w:ascii="Open Sans" w:hAnsi="Open Sans" w:cs="Open Sans"/>
        </w:rPr>
        <w:t>Figure 3 shows which technology business students already used. Mostly they used mobile apps, cloud-based technology and Internet of Things/sensors. Since we were conducting our survey at the business schools, it can be acknowledged that several students already develop their own mobile apps as start ups.</w:t>
      </w:r>
    </w:p>
    <w:p w14:paraId="78208EBC" w14:textId="77777777" w:rsidR="00AE101A" w:rsidRPr="002A63BA" w:rsidRDefault="00AE101A" w:rsidP="00FF3EE4">
      <w:pPr>
        <w:spacing w:line="276" w:lineRule="auto"/>
        <w:rPr>
          <w:rFonts w:ascii="Open Sans" w:hAnsi="Open Sans" w:cs="Open Sans"/>
        </w:rPr>
      </w:pPr>
      <w:r w:rsidRPr="002A63BA">
        <w:rPr>
          <w:rFonts w:ascii="Open Sans" w:hAnsi="Open Sans" w:cs="Open Sans"/>
          <w:noProof/>
          <w:lang w:val="hr-HR" w:eastAsia="hr-HR"/>
        </w:rPr>
        <w:drawing>
          <wp:inline distT="0" distB="0" distL="0" distR="0" wp14:anchorId="2592A20B" wp14:editId="029DF831">
            <wp:extent cx="4683887" cy="1880106"/>
            <wp:effectExtent l="0" t="0" r="2540" b="635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cstate="screen">
                      <a:extLst>
                        <a:ext uri="{28A0092B-C50C-407E-A947-70E740481C1C}">
                          <a14:useLocalDpi xmlns:a14="http://schemas.microsoft.com/office/drawing/2010/main"/>
                        </a:ext>
                      </a:extLst>
                    </a:blip>
                    <a:srcRect/>
                    <a:stretch/>
                  </pic:blipFill>
                  <pic:spPr bwMode="auto">
                    <a:xfrm>
                      <a:off x="0" y="0"/>
                      <a:ext cx="4729450" cy="1898395"/>
                    </a:xfrm>
                    <a:prstGeom prst="rect">
                      <a:avLst/>
                    </a:prstGeom>
                    <a:ln>
                      <a:noFill/>
                    </a:ln>
                    <a:extLst>
                      <a:ext uri="{53640926-AAD7-44D8-BBD7-CCE9431645EC}">
                        <a14:shadowObscured xmlns:a14="http://schemas.microsoft.com/office/drawing/2010/main"/>
                      </a:ext>
                    </a:extLst>
                  </pic:spPr>
                </pic:pic>
              </a:graphicData>
            </a:graphic>
          </wp:inline>
        </w:drawing>
      </w:r>
      <w:r w:rsidRPr="002A63BA">
        <w:rPr>
          <w:rFonts w:ascii="Open Sans" w:hAnsi="Open Sans" w:cs="Open Sans"/>
        </w:rPr>
        <w:t xml:space="preserve"> Figure 3. SQ </w:t>
      </w:r>
      <w:r w:rsidRPr="002A63BA">
        <w:rPr>
          <w:rFonts w:ascii="Open Sans" w:hAnsi="Open Sans" w:cs="Open Sans"/>
          <w:i/>
          <w:iCs/>
        </w:rPr>
        <w:t>“Which technology have you already used?”</w:t>
      </w:r>
      <w:r w:rsidRPr="002A63BA">
        <w:rPr>
          <w:rFonts w:ascii="Open Sans" w:hAnsi="Open Sans" w:cs="Open Sans"/>
        </w:rPr>
        <w:t xml:space="preserve"> (Author research, n=142)</w:t>
      </w:r>
    </w:p>
    <w:p w14:paraId="1410B1A5"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From the assortment of smart city applications students are most familiar (Figure 4) with parking management, street lighting, and ride sharing. University of Ljubljana School of economics and business opened its own sustainable parking lot in 2021, called Park EF, where students can open their accounts and park their cars with a discount in a way that the system </w:t>
      </w:r>
      <w:r w:rsidRPr="002A63BA">
        <w:rPr>
          <w:rFonts w:ascii="Open Sans" w:hAnsi="Open Sans" w:cs="Open Sans"/>
        </w:rPr>
        <w:lastRenderedPageBreak/>
        <w:t>recognizes their car plates and takes automatically the money from their accounts for the duration of their parking.</w:t>
      </w:r>
    </w:p>
    <w:p w14:paraId="5F7BB76B" w14:textId="77777777" w:rsidR="00AE101A" w:rsidRPr="002A63BA" w:rsidRDefault="00AE101A" w:rsidP="00FF3EE4">
      <w:pPr>
        <w:spacing w:line="276" w:lineRule="auto"/>
        <w:rPr>
          <w:rFonts w:ascii="Open Sans" w:hAnsi="Open Sans" w:cs="Open Sans"/>
        </w:rPr>
      </w:pPr>
      <w:r w:rsidRPr="002A63BA">
        <w:rPr>
          <w:rFonts w:ascii="Open Sans" w:hAnsi="Open Sans" w:cs="Open Sans"/>
          <w:noProof/>
          <w:lang w:val="hr-HR" w:eastAsia="hr-HR"/>
        </w:rPr>
        <w:drawing>
          <wp:inline distT="0" distB="0" distL="0" distR="0" wp14:anchorId="31323006" wp14:editId="41595770">
            <wp:extent cx="4735782" cy="1946483"/>
            <wp:effectExtent l="0" t="0" r="8255"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cstate="screen">
                      <a:extLst>
                        <a:ext uri="{28A0092B-C50C-407E-A947-70E740481C1C}">
                          <a14:useLocalDpi xmlns:a14="http://schemas.microsoft.com/office/drawing/2010/main"/>
                        </a:ext>
                      </a:extLst>
                    </a:blip>
                    <a:srcRect/>
                    <a:stretch/>
                  </pic:blipFill>
                  <pic:spPr bwMode="auto">
                    <a:xfrm>
                      <a:off x="0" y="0"/>
                      <a:ext cx="4785431" cy="1966890"/>
                    </a:xfrm>
                    <a:prstGeom prst="rect">
                      <a:avLst/>
                    </a:prstGeom>
                    <a:ln>
                      <a:noFill/>
                    </a:ln>
                    <a:extLst>
                      <a:ext uri="{53640926-AAD7-44D8-BBD7-CCE9431645EC}">
                        <a14:shadowObscured xmlns:a14="http://schemas.microsoft.com/office/drawing/2010/main"/>
                      </a:ext>
                    </a:extLst>
                  </pic:spPr>
                </pic:pic>
              </a:graphicData>
            </a:graphic>
          </wp:inline>
        </w:drawing>
      </w:r>
      <w:r w:rsidRPr="002A63BA">
        <w:rPr>
          <w:rFonts w:ascii="Open Sans" w:hAnsi="Open Sans" w:cs="Open Sans"/>
        </w:rPr>
        <w:t xml:space="preserve"> Figure 4. SQ </w:t>
      </w:r>
      <w:r w:rsidRPr="002A63BA">
        <w:rPr>
          <w:rFonts w:ascii="Open Sans" w:hAnsi="Open Sans" w:cs="Open Sans"/>
          <w:i/>
          <w:iCs/>
        </w:rPr>
        <w:t>“Which smart city applications are you familiar with?”</w:t>
      </w:r>
      <w:r w:rsidRPr="002A63BA">
        <w:rPr>
          <w:rFonts w:ascii="Open Sans" w:hAnsi="Open Sans" w:cs="Open Sans"/>
        </w:rPr>
        <w:t xml:space="preserve"> (Author research, n=142)</w:t>
      </w:r>
    </w:p>
    <w:p w14:paraId="283871B8" w14:textId="77777777" w:rsidR="00AE101A" w:rsidRPr="002A63BA" w:rsidRDefault="00AE101A" w:rsidP="00FF3EE4">
      <w:pPr>
        <w:spacing w:line="276" w:lineRule="auto"/>
        <w:rPr>
          <w:rFonts w:ascii="Open Sans" w:hAnsi="Open Sans" w:cs="Open Sans"/>
        </w:rPr>
      </w:pPr>
      <w:r w:rsidRPr="002A63BA">
        <w:rPr>
          <w:rFonts w:ascii="Open Sans" w:hAnsi="Open Sans" w:cs="Open Sans"/>
        </w:rPr>
        <w:t>Smart city represents different things to students and they describe it with the following definitions (key implicit theories of smart city): 1) smart city as a futuristic city with positive anticipation; 2) smart city as a threat, means of domination and control, 3) smart city as a combination of technological solutions that improve our lives; 4) smart city as a way of enabling eco and clean way of living.</w:t>
      </w:r>
    </w:p>
    <w:p w14:paraId="186F5E43"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Students mostly connect smart city with modern technology, robots and futuristic appliances. Even if they do not know any smart city specifically, they mostly still connect it with something from the future, something that we will need to think about more in the future and also equip ourselves with the knowledge to be able to function well in that kind of city. </w:t>
      </w:r>
      <w:r w:rsidRPr="002A63BA">
        <w:rPr>
          <w:rFonts w:ascii="Open Sans" w:hAnsi="Open Sans" w:cs="Open Sans"/>
          <w:b/>
        </w:rPr>
        <w:t>Smart city as a combination of technological solutions that improve our lives category</w:t>
      </w:r>
      <w:r w:rsidRPr="002A63BA">
        <w:rPr>
          <w:rFonts w:ascii="Open Sans" w:hAnsi="Open Sans" w:cs="Open Sans"/>
        </w:rPr>
        <w:t xml:space="preserve"> is the most common among business students, such as the following proof citations state: </w:t>
      </w:r>
    </w:p>
    <w:tbl>
      <w:tblPr>
        <w:tblStyle w:val="Reetkatablice"/>
        <w:tblW w:w="0" w:type="auto"/>
        <w:tblLook w:val="04A0" w:firstRow="1" w:lastRow="0" w:firstColumn="1" w:lastColumn="0" w:noHBand="0" w:noVBand="1"/>
      </w:tblPr>
      <w:tblGrid>
        <w:gridCol w:w="7428"/>
      </w:tblGrid>
      <w:tr w:rsidR="00AE101A" w:rsidRPr="002A63BA" w14:paraId="5E16E64B" w14:textId="77777777" w:rsidTr="007C3C4B">
        <w:tc>
          <w:tcPr>
            <w:tcW w:w="9350" w:type="dxa"/>
          </w:tcPr>
          <w:p w14:paraId="037FEF95" w14:textId="77777777" w:rsidR="00AE101A" w:rsidRPr="002A63BA" w:rsidRDefault="00AE101A" w:rsidP="00FF3EE4">
            <w:pPr>
              <w:spacing w:line="276" w:lineRule="auto"/>
              <w:rPr>
                <w:rFonts w:ascii="Open Sans" w:hAnsi="Open Sans" w:cs="Open Sans"/>
                <w:i/>
              </w:rPr>
            </w:pPr>
            <w:r w:rsidRPr="002A63BA">
              <w:rPr>
                <w:rFonts w:ascii="Open Sans" w:hAnsi="Open Sans" w:cs="Open Sans"/>
                <w:i/>
              </w:rPr>
              <w:t xml:space="preserve">Automated and efficient available public services; The city has technology to make living in the city easier; A city where you </w:t>
            </w:r>
            <w:r w:rsidRPr="002A63BA">
              <w:rPr>
                <w:rFonts w:ascii="Open Sans" w:hAnsi="Open Sans" w:cs="Open Sans"/>
                <w:i/>
                <w:u w:val="single"/>
              </w:rPr>
              <w:t>don’t waste your time</w:t>
            </w:r>
            <w:r w:rsidRPr="002A63BA">
              <w:rPr>
                <w:rFonts w:ascii="Open Sans" w:hAnsi="Open Sans" w:cs="Open Sans"/>
                <w:i/>
              </w:rPr>
              <w:t xml:space="preserve">; When </w:t>
            </w:r>
            <w:r w:rsidRPr="002A63BA">
              <w:rPr>
                <w:rFonts w:ascii="Open Sans" w:hAnsi="Open Sans" w:cs="Open Sans"/>
                <w:i/>
                <w:u w:val="single"/>
              </w:rPr>
              <w:t>technology eases living</w:t>
            </w:r>
            <w:r w:rsidRPr="002A63BA">
              <w:rPr>
                <w:rFonts w:ascii="Open Sans" w:hAnsi="Open Sans" w:cs="Open Sans"/>
                <w:i/>
              </w:rPr>
              <w:t xml:space="preserve"> in the city; A city which has highly implemented the </w:t>
            </w:r>
            <w:r w:rsidRPr="002A63BA">
              <w:rPr>
                <w:rFonts w:ascii="Open Sans" w:hAnsi="Open Sans" w:cs="Open Sans"/>
                <w:i/>
                <w:u w:val="single"/>
              </w:rPr>
              <w:t>technology in its daily live</w:t>
            </w:r>
            <w:r w:rsidRPr="002A63BA">
              <w:rPr>
                <w:rFonts w:ascii="Open Sans" w:hAnsi="Open Sans" w:cs="Open Sans"/>
                <w:i/>
              </w:rPr>
              <w:t xml:space="preserve">; A city that is </w:t>
            </w:r>
            <w:r w:rsidRPr="002A63BA">
              <w:rPr>
                <w:rFonts w:ascii="Open Sans" w:hAnsi="Open Sans" w:cs="Open Sans"/>
                <w:i/>
                <w:u w:val="single"/>
              </w:rPr>
              <w:t xml:space="preserve">well organized </w:t>
            </w:r>
            <w:r w:rsidRPr="002A63BA">
              <w:rPr>
                <w:rFonts w:ascii="Open Sans" w:hAnsi="Open Sans" w:cs="Open Sans"/>
                <w:i/>
                <w:u w:val="single"/>
              </w:rPr>
              <w:lastRenderedPageBreak/>
              <w:t>with the help of technology</w:t>
            </w:r>
            <w:r w:rsidRPr="002A63BA">
              <w:rPr>
                <w:rFonts w:ascii="Open Sans" w:hAnsi="Open Sans" w:cs="Open Sans"/>
                <w:i/>
              </w:rPr>
              <w:t xml:space="preserve">; Automations, hassle-free processes; Easier to find a route; A city in which it is </w:t>
            </w:r>
            <w:r w:rsidRPr="002A63BA">
              <w:rPr>
                <w:rFonts w:ascii="Open Sans" w:hAnsi="Open Sans" w:cs="Open Sans"/>
                <w:i/>
                <w:u w:val="single"/>
              </w:rPr>
              <w:t>very easy to go around and function</w:t>
            </w:r>
            <w:r w:rsidRPr="002A63BA">
              <w:rPr>
                <w:rFonts w:ascii="Open Sans" w:hAnsi="Open Sans" w:cs="Open Sans"/>
                <w:i/>
              </w:rPr>
              <w:t xml:space="preserve">; It is a city in which technology helps with the everyday inconveniences like automatically opening rubbish bins; Created to make people lazier than we already are; That the city has useful </w:t>
            </w:r>
            <w:r w:rsidRPr="002A63BA">
              <w:rPr>
                <w:rFonts w:ascii="Open Sans" w:hAnsi="Open Sans" w:cs="Open Sans"/>
                <w:i/>
                <w:u w:val="single"/>
              </w:rPr>
              <w:t>electronic/digital assistance for the people</w:t>
            </w:r>
            <w:r w:rsidRPr="002A63BA">
              <w:rPr>
                <w:rFonts w:ascii="Open Sans" w:hAnsi="Open Sans" w:cs="Open Sans"/>
                <w:i/>
              </w:rPr>
              <w:t xml:space="preserve">; </w:t>
            </w:r>
            <w:r w:rsidRPr="002A63BA">
              <w:rPr>
                <w:rFonts w:ascii="Open Sans" w:hAnsi="Open Sans" w:cs="Open Sans"/>
                <w:i/>
                <w:u w:val="single"/>
              </w:rPr>
              <w:t>Temporary solutions applied to the existing issues</w:t>
            </w:r>
            <w:r w:rsidRPr="002A63BA">
              <w:rPr>
                <w:rFonts w:ascii="Open Sans" w:hAnsi="Open Sans" w:cs="Open Sans"/>
                <w:i/>
              </w:rPr>
              <w:t xml:space="preserve">; Set of public service solutions that help optimize daily processes in the city. For example systems that help optimize traffic congestion on certain intersection; Integration of IT and various aspects of city life (transport, parking, facilities such as hospitals, post office, etc.); </w:t>
            </w:r>
            <w:r w:rsidRPr="002A63BA">
              <w:rPr>
                <w:rFonts w:ascii="Open Sans" w:hAnsi="Open Sans" w:cs="Open Sans"/>
                <w:i/>
                <w:u w:val="single"/>
              </w:rPr>
              <w:t>optimize city functions and promote economic growth</w:t>
            </w:r>
            <w:r w:rsidRPr="002A63BA">
              <w:rPr>
                <w:rFonts w:ascii="Open Sans" w:hAnsi="Open Sans" w:cs="Open Sans"/>
                <w:i/>
              </w:rPr>
              <w:t xml:space="preserve">; Smart city a place where everything </w:t>
            </w:r>
            <w:r w:rsidRPr="002A63BA">
              <w:rPr>
                <w:rFonts w:ascii="Open Sans" w:hAnsi="Open Sans" w:cs="Open Sans"/>
                <w:i/>
                <w:u w:val="single"/>
              </w:rPr>
              <w:t>runs smoothly</w:t>
            </w:r>
            <w:r w:rsidRPr="002A63BA">
              <w:rPr>
                <w:rFonts w:ascii="Open Sans" w:hAnsi="Open Sans" w:cs="Open Sans"/>
                <w:i/>
              </w:rPr>
              <w:t xml:space="preserve"> in case of traffic and internet; Smart city is very modern and technologically upgraded area, with its prime aim to upgrade everyday life; City relying on IT infrastructure to optimize transport of people, goods, energy and information throughout itself; A city where you can get all the needed information and services online; Everything will be on the apps (ticket for a bus, bike sharing...); </w:t>
            </w:r>
            <w:r w:rsidRPr="002A63BA">
              <w:rPr>
                <w:rFonts w:ascii="Open Sans" w:hAnsi="Open Sans" w:cs="Open Sans"/>
                <w:i/>
                <w:u w:val="single"/>
              </w:rPr>
              <w:t>Digitalization</w:t>
            </w:r>
            <w:r w:rsidRPr="002A63BA">
              <w:rPr>
                <w:rFonts w:ascii="Open Sans" w:hAnsi="Open Sans" w:cs="Open Sans"/>
                <w:i/>
              </w:rPr>
              <w:t>; easy to live in; More safety; Clean; City that uses technology in all aspects of its infrastructure (streets, roads, parking); I would describe smart city as a city where there is a lot of technology, which is used to help people of all generations, not just younger people but technology friendly to elderly people. And in a smart city its important that the people know how to use the technology that they have at hand; You can use most of the city's services with apps on your phone and pay for them with credit cards (or over mobile); City where everything goes smoothly, everything is electronic and full of smart devices such as different computers, robots…</w:t>
            </w:r>
          </w:p>
        </w:tc>
      </w:tr>
    </w:tbl>
    <w:p w14:paraId="2F8DA9CF" w14:textId="77777777" w:rsidR="00AE101A" w:rsidRPr="002A63BA" w:rsidRDefault="00AE101A" w:rsidP="00FF3EE4">
      <w:pPr>
        <w:spacing w:line="276" w:lineRule="auto"/>
        <w:rPr>
          <w:rFonts w:ascii="Open Sans" w:hAnsi="Open Sans" w:cs="Open Sans"/>
        </w:rPr>
      </w:pPr>
    </w:p>
    <w:p w14:paraId="68B82684" w14:textId="77777777" w:rsidR="00AE101A" w:rsidRPr="002A63BA" w:rsidRDefault="00AE101A" w:rsidP="00FF3EE4">
      <w:pPr>
        <w:spacing w:line="276" w:lineRule="auto"/>
        <w:rPr>
          <w:rFonts w:ascii="Open Sans" w:hAnsi="Open Sans" w:cs="Open Sans"/>
        </w:rPr>
      </w:pPr>
      <w:r w:rsidRPr="002A63BA">
        <w:rPr>
          <w:rFonts w:ascii="Open Sans" w:hAnsi="Open Sans" w:cs="Open Sans"/>
        </w:rPr>
        <w:t>Always, when we talk about novel things, our fear is how they will affect our lives. The fear is that new technology will become more powerful than humans or that we will lose control over main aspects of our lives.</w:t>
      </w:r>
      <w:r w:rsidRPr="002A63BA">
        <w:rPr>
          <w:rFonts w:ascii="Open Sans" w:hAnsi="Open Sans" w:cs="Open Sans"/>
          <w:b/>
        </w:rPr>
        <w:t xml:space="preserve"> Smart city as a threat, means of domination and control </w:t>
      </w:r>
      <w:r w:rsidRPr="002A63BA">
        <w:rPr>
          <w:rFonts w:ascii="Open Sans" w:hAnsi="Open Sans" w:cs="Open Sans"/>
        </w:rPr>
        <w:t xml:space="preserve">is also one aspect of students’ perception of smart city: </w:t>
      </w:r>
    </w:p>
    <w:p w14:paraId="7BAA7841" w14:textId="77777777" w:rsidR="00AE101A" w:rsidRPr="002A63BA" w:rsidRDefault="00AE101A" w:rsidP="00FF3EE4">
      <w:pPr>
        <w:pStyle w:val="Odlomakpopisa"/>
        <w:numPr>
          <w:ilvl w:val="0"/>
          <w:numId w:val="15"/>
        </w:numPr>
        <w:spacing w:line="276" w:lineRule="auto"/>
        <w:rPr>
          <w:rFonts w:ascii="Open Sans" w:hAnsi="Open Sans" w:cs="Open Sans"/>
          <w:i/>
        </w:rPr>
      </w:pPr>
      <w:r w:rsidRPr="002A63BA">
        <w:rPr>
          <w:rFonts w:ascii="Open Sans" w:hAnsi="Open Sans" w:cs="Open Sans"/>
          <w:i/>
        </w:rPr>
        <w:t>things can be monitored with a phone</w:t>
      </w:r>
    </w:p>
    <w:p w14:paraId="55D461CE" w14:textId="77777777" w:rsidR="00AE101A" w:rsidRPr="002A63BA" w:rsidRDefault="00AE101A" w:rsidP="00FF3EE4">
      <w:pPr>
        <w:pStyle w:val="Odlomakpopisa"/>
        <w:numPr>
          <w:ilvl w:val="0"/>
          <w:numId w:val="15"/>
        </w:numPr>
        <w:spacing w:line="276" w:lineRule="auto"/>
        <w:rPr>
          <w:rFonts w:ascii="Open Sans" w:hAnsi="Open Sans" w:cs="Open Sans"/>
          <w:i/>
        </w:rPr>
      </w:pPr>
      <w:r w:rsidRPr="002A63BA">
        <w:rPr>
          <w:rFonts w:ascii="Open Sans" w:hAnsi="Open Sans" w:cs="Open Sans"/>
          <w:i/>
          <w:u w:val="single"/>
        </w:rPr>
        <w:lastRenderedPageBreak/>
        <w:t>Full of cameras and prohibited access</w:t>
      </w:r>
      <w:r w:rsidRPr="002A63BA">
        <w:rPr>
          <w:rFonts w:ascii="Open Sans" w:hAnsi="Open Sans" w:cs="Open Sans"/>
          <w:i/>
        </w:rPr>
        <w:t xml:space="preserve"> to fundamental utilities, access available to people with smartphones</w:t>
      </w:r>
    </w:p>
    <w:p w14:paraId="4FB8EFFB" w14:textId="77777777" w:rsidR="00AE101A" w:rsidRPr="002A63BA" w:rsidRDefault="00AE101A" w:rsidP="00FF3EE4">
      <w:pPr>
        <w:pStyle w:val="Odlomakpopisa"/>
        <w:numPr>
          <w:ilvl w:val="0"/>
          <w:numId w:val="15"/>
        </w:numPr>
        <w:spacing w:line="276" w:lineRule="auto"/>
        <w:rPr>
          <w:rFonts w:ascii="Open Sans" w:hAnsi="Open Sans" w:cs="Open Sans"/>
          <w:i/>
        </w:rPr>
      </w:pPr>
      <w:r w:rsidRPr="002A63BA">
        <w:rPr>
          <w:rFonts w:ascii="Open Sans" w:hAnsi="Open Sans" w:cs="Open Sans"/>
          <w:i/>
        </w:rPr>
        <w:t xml:space="preserve">Smart city is </w:t>
      </w:r>
      <w:r w:rsidRPr="002A63BA">
        <w:rPr>
          <w:rFonts w:ascii="Open Sans" w:hAnsi="Open Sans" w:cs="Open Sans"/>
          <w:i/>
          <w:u w:val="single"/>
        </w:rPr>
        <w:t>controlled and managed by technology</w:t>
      </w:r>
      <w:r w:rsidRPr="002A63BA">
        <w:rPr>
          <w:rFonts w:ascii="Open Sans" w:hAnsi="Open Sans" w:cs="Open Sans"/>
          <w:i/>
        </w:rPr>
        <w:t xml:space="preserve"> in order to </w:t>
      </w:r>
      <w:r w:rsidRPr="002A63BA">
        <w:rPr>
          <w:rFonts w:ascii="Open Sans" w:hAnsi="Open Sans" w:cs="Open Sans"/>
          <w:i/>
          <w:u w:val="single"/>
        </w:rPr>
        <w:t>improve the quality of life.</w:t>
      </w:r>
    </w:p>
    <w:p w14:paraId="04DB495A" w14:textId="77777777" w:rsidR="00AE101A" w:rsidRPr="002A63BA" w:rsidRDefault="00AE101A" w:rsidP="00FF3EE4">
      <w:pPr>
        <w:pStyle w:val="Odlomakpopisa"/>
        <w:numPr>
          <w:ilvl w:val="0"/>
          <w:numId w:val="15"/>
        </w:numPr>
        <w:spacing w:line="276" w:lineRule="auto"/>
        <w:rPr>
          <w:rFonts w:ascii="Open Sans" w:hAnsi="Open Sans" w:cs="Open Sans"/>
          <w:i/>
        </w:rPr>
      </w:pPr>
      <w:r w:rsidRPr="002A63BA">
        <w:rPr>
          <w:rFonts w:ascii="Open Sans" w:hAnsi="Open Sans" w:cs="Open Sans"/>
          <w:i/>
          <w:u w:val="single"/>
        </w:rPr>
        <w:t>Digital Prison</w:t>
      </w:r>
    </w:p>
    <w:p w14:paraId="6B99BB03" w14:textId="77777777" w:rsidR="00AE101A" w:rsidRPr="002A63BA" w:rsidRDefault="00AE101A" w:rsidP="00FF3EE4">
      <w:pPr>
        <w:pStyle w:val="Odlomakpopisa"/>
        <w:numPr>
          <w:ilvl w:val="0"/>
          <w:numId w:val="15"/>
        </w:numPr>
        <w:spacing w:line="276" w:lineRule="auto"/>
        <w:rPr>
          <w:rFonts w:ascii="Open Sans" w:hAnsi="Open Sans" w:cs="Open Sans"/>
          <w:i/>
        </w:rPr>
      </w:pPr>
      <w:r w:rsidRPr="002A63BA">
        <w:rPr>
          <w:rFonts w:ascii="Open Sans" w:hAnsi="Open Sans" w:cs="Open Sans"/>
          <w:i/>
        </w:rPr>
        <w:t>It means that technology will replace many human activities.</w:t>
      </w:r>
    </w:p>
    <w:p w14:paraId="03A86093"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Surprisingly, when overcoming the fear of domination that technology can have over humans, students also grasp the positive aspects of smart cities that can help us live more sustainably and environmentally friendly. Students also see the potential of </w:t>
      </w:r>
      <w:r w:rsidRPr="002A63BA">
        <w:rPr>
          <w:rFonts w:ascii="Open Sans" w:hAnsi="Open Sans" w:cs="Open Sans"/>
          <w:b/>
        </w:rPr>
        <w:t>smart city to help us manage and sustain cities in a more ecological and clean way</w:t>
      </w:r>
      <w:r w:rsidRPr="002A63BA">
        <w:rPr>
          <w:rFonts w:ascii="Open Sans" w:hAnsi="Open Sans" w:cs="Open Sans"/>
        </w:rPr>
        <w:t xml:space="preserve">: </w:t>
      </w:r>
    </w:p>
    <w:p w14:paraId="6D8D8BE4"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 xml:space="preserve">Sustainable, led by an AI, with an emphasis on recent </w:t>
      </w:r>
      <w:r w:rsidRPr="002A63BA">
        <w:rPr>
          <w:rFonts w:ascii="Open Sans" w:hAnsi="Open Sans" w:cs="Open Sans"/>
          <w:i/>
          <w:u w:val="single"/>
        </w:rPr>
        <w:t>technological advances</w:t>
      </w:r>
      <w:r w:rsidRPr="002A63BA">
        <w:rPr>
          <w:rFonts w:ascii="Open Sans" w:hAnsi="Open Sans" w:cs="Open Sans"/>
          <w:i/>
        </w:rPr>
        <w:t xml:space="preserve">, </w:t>
      </w:r>
      <w:r w:rsidRPr="002A63BA">
        <w:rPr>
          <w:rFonts w:ascii="Open Sans" w:hAnsi="Open Sans" w:cs="Open Sans"/>
          <w:i/>
          <w:u w:val="single"/>
        </w:rPr>
        <w:t>decentralized</w:t>
      </w:r>
    </w:p>
    <w:p w14:paraId="6A3C9546"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u w:val="single"/>
        </w:rPr>
        <w:t>eco and efficient</w:t>
      </w:r>
    </w:p>
    <w:p w14:paraId="31378A8D"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u w:val="single"/>
        </w:rPr>
        <w:t>eco and clean</w:t>
      </w:r>
    </w:p>
    <w:p w14:paraId="3ACB212F"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u w:val="single"/>
        </w:rPr>
        <w:t>Emphasis on ecological aspect and technology</w:t>
      </w:r>
    </w:p>
    <w:p w14:paraId="1DC4D960"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A city that combines both - healthy environment and good communication</w:t>
      </w:r>
    </w:p>
    <w:p w14:paraId="23D3EE6D"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A smart city means that people in their way of transport would personally choose to use other and environmentally friendly ways of transport over theirs. Everything around us that is not yet included would be now available on your personal devices fast and efficiently so to make the commute and everyday life easier.</w:t>
      </w:r>
    </w:p>
    <w:p w14:paraId="146E8811"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Cheap, efficient, environmentally friendly</w:t>
      </w:r>
    </w:p>
    <w:p w14:paraId="6F66BE0D"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A city with little traffic (Artificial learning of managing traffic), low emissions, quick access to services (banks, emergency services, shops), few people working jobs that robots could do (shops without cashiers) ...</w:t>
      </w:r>
    </w:p>
    <w:p w14:paraId="5395FCAC"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u w:val="single"/>
        </w:rPr>
        <w:t>Technologically advanced, better for environment, ...</w:t>
      </w:r>
    </w:p>
    <w:p w14:paraId="3C0B2761"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u w:val="single"/>
        </w:rPr>
        <w:t>More citizen and environmentally friendly. You can access more things with your smart device. More automatized.</w:t>
      </w:r>
    </w:p>
    <w:p w14:paraId="12F2865D"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 xml:space="preserve">Smart city investments in human and social capital and traditional and modern communication infrastructure fuel sustainable economic </w:t>
      </w:r>
      <w:r w:rsidRPr="002A63BA">
        <w:rPr>
          <w:rFonts w:ascii="Open Sans" w:hAnsi="Open Sans" w:cs="Open Sans"/>
          <w:i/>
        </w:rPr>
        <w:lastRenderedPageBreak/>
        <w:t>development and a high quality of life, with a wise management of natural resources, through participatory action.</w:t>
      </w:r>
    </w:p>
    <w:p w14:paraId="7D195441" w14:textId="77777777" w:rsidR="00AE101A" w:rsidRPr="002A63BA" w:rsidRDefault="00AE101A" w:rsidP="00FF3EE4">
      <w:pPr>
        <w:pStyle w:val="Odlomakpopisa"/>
        <w:numPr>
          <w:ilvl w:val="0"/>
          <w:numId w:val="16"/>
        </w:numPr>
        <w:spacing w:line="276" w:lineRule="auto"/>
        <w:rPr>
          <w:rFonts w:ascii="Open Sans" w:hAnsi="Open Sans" w:cs="Open Sans"/>
          <w:i/>
          <w:u w:val="single"/>
        </w:rPr>
      </w:pPr>
      <w:r w:rsidRPr="002A63BA">
        <w:rPr>
          <w:rFonts w:ascii="Open Sans" w:hAnsi="Open Sans" w:cs="Open Sans"/>
          <w:i/>
        </w:rPr>
        <w:t>A smart city enables its residents or other people to use modern technology for easier use of its services (by making data publicly available through wifi, using phones for certain reservations, minimizing paperwork, faster access to services …)</w:t>
      </w:r>
    </w:p>
    <w:p w14:paraId="4FC243D7"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To some students the whole concept of a smart city sounds </w:t>
      </w:r>
      <w:r w:rsidRPr="002A63BA">
        <w:rPr>
          <w:rFonts w:ascii="Open Sans" w:hAnsi="Open Sans" w:cs="Open Sans"/>
          <w:b/>
        </w:rPr>
        <w:t>futuristic with positive connotation</w:t>
      </w:r>
      <w:r w:rsidRPr="002A63BA">
        <w:rPr>
          <w:rFonts w:ascii="Open Sans" w:hAnsi="Open Sans" w:cs="Open Sans"/>
        </w:rPr>
        <w:t xml:space="preserve">: </w:t>
      </w:r>
    </w:p>
    <w:p w14:paraId="6AB15D41" w14:textId="77777777" w:rsidR="00AE101A" w:rsidRPr="002A63BA" w:rsidRDefault="00AE101A" w:rsidP="00FF3EE4">
      <w:pPr>
        <w:pStyle w:val="Odlomakpopisa"/>
        <w:numPr>
          <w:ilvl w:val="0"/>
          <w:numId w:val="17"/>
        </w:numPr>
        <w:spacing w:line="276" w:lineRule="auto"/>
        <w:rPr>
          <w:rFonts w:ascii="Open Sans" w:hAnsi="Open Sans" w:cs="Open Sans"/>
          <w:i/>
        </w:rPr>
      </w:pPr>
      <w:r w:rsidRPr="002A63BA">
        <w:rPr>
          <w:rFonts w:ascii="Open Sans" w:hAnsi="Open Sans" w:cs="Open Sans"/>
          <w:i/>
        </w:rPr>
        <w:t xml:space="preserve">a </w:t>
      </w:r>
      <w:r w:rsidRPr="002A63BA">
        <w:rPr>
          <w:rFonts w:ascii="Open Sans" w:hAnsi="Open Sans" w:cs="Open Sans"/>
          <w:i/>
          <w:u w:val="single"/>
        </w:rPr>
        <w:t xml:space="preserve">futuristic </w:t>
      </w:r>
      <w:r w:rsidRPr="002A63BA">
        <w:rPr>
          <w:rFonts w:ascii="Open Sans" w:hAnsi="Open Sans" w:cs="Open Sans"/>
          <w:i/>
        </w:rPr>
        <w:t>city</w:t>
      </w:r>
    </w:p>
    <w:p w14:paraId="315371C3" w14:textId="77777777" w:rsidR="00AE101A" w:rsidRPr="002A63BA" w:rsidRDefault="00AE101A" w:rsidP="00FF3EE4">
      <w:pPr>
        <w:pStyle w:val="Odlomakpopisa"/>
        <w:numPr>
          <w:ilvl w:val="0"/>
          <w:numId w:val="17"/>
        </w:numPr>
        <w:spacing w:line="276" w:lineRule="auto"/>
        <w:rPr>
          <w:rFonts w:ascii="Open Sans" w:hAnsi="Open Sans" w:cs="Open Sans"/>
          <w:i/>
        </w:rPr>
      </w:pPr>
      <w:r w:rsidRPr="002A63BA">
        <w:rPr>
          <w:rFonts w:ascii="Open Sans" w:hAnsi="Open Sans" w:cs="Open Sans"/>
          <w:i/>
        </w:rPr>
        <w:t xml:space="preserve">A smart city is a city, that is very modern and has a lot of hi-tech technology and devices, is very automatized. </w:t>
      </w:r>
      <w:r w:rsidRPr="002A63BA">
        <w:rPr>
          <w:rFonts w:ascii="Open Sans" w:hAnsi="Open Sans" w:cs="Open Sans"/>
          <w:i/>
          <w:u w:val="single"/>
        </w:rPr>
        <w:t>I think it would be very interesting to experience this kind of world to see how life would look like.</w:t>
      </w:r>
    </w:p>
    <w:p w14:paraId="694015F0" w14:textId="77777777" w:rsidR="00AE101A" w:rsidRPr="002A63BA" w:rsidRDefault="00AE101A" w:rsidP="00FF3EE4">
      <w:pPr>
        <w:pStyle w:val="Odlomakpopisa"/>
        <w:numPr>
          <w:ilvl w:val="0"/>
          <w:numId w:val="17"/>
        </w:numPr>
        <w:spacing w:line="276" w:lineRule="auto"/>
        <w:rPr>
          <w:rFonts w:ascii="Open Sans" w:hAnsi="Open Sans" w:cs="Open Sans"/>
          <w:i/>
        </w:rPr>
      </w:pPr>
      <w:r w:rsidRPr="002A63BA">
        <w:rPr>
          <w:rFonts w:ascii="Open Sans" w:hAnsi="Open Sans" w:cs="Open Sans"/>
          <w:i/>
        </w:rPr>
        <w:t xml:space="preserve">A smart city uses information and communication technology to improve operational efficiency and share information with the public. I think it is </w:t>
      </w:r>
      <w:r w:rsidRPr="002A63BA">
        <w:rPr>
          <w:rFonts w:ascii="Open Sans" w:hAnsi="Open Sans" w:cs="Open Sans"/>
          <w:i/>
          <w:u w:val="single"/>
        </w:rPr>
        <w:t xml:space="preserve">good idea </w:t>
      </w:r>
      <w:r w:rsidRPr="002A63BA">
        <w:rPr>
          <w:rFonts w:ascii="Open Sans" w:hAnsi="Open Sans" w:cs="Open Sans"/>
          <w:i/>
        </w:rPr>
        <w:t>because smart city is more attractive place for residents to live and promote a connected citizen experience.</w:t>
      </w:r>
    </w:p>
    <w:p w14:paraId="5A9678B2"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Furthermore, 61,3% of students would like to live in a smart city, while 10,65% does not wish to live in it (Figure 5). </w:t>
      </w:r>
    </w:p>
    <w:p w14:paraId="59A11CB4" w14:textId="77777777" w:rsidR="00AE101A" w:rsidRPr="002A63BA" w:rsidRDefault="00AE101A" w:rsidP="00FF3EE4">
      <w:pPr>
        <w:spacing w:line="276" w:lineRule="auto"/>
        <w:rPr>
          <w:rFonts w:ascii="Open Sans" w:hAnsi="Open Sans" w:cs="Open Sans"/>
          <w:i/>
        </w:rPr>
      </w:pPr>
      <w:r w:rsidRPr="002A63BA">
        <w:rPr>
          <w:rFonts w:ascii="Open Sans" w:hAnsi="Open Sans" w:cs="Open Sans"/>
          <w:noProof/>
          <w:lang w:val="hr-HR" w:eastAsia="hr-HR"/>
        </w:rPr>
        <w:drawing>
          <wp:inline distT="0" distB="0" distL="0" distR="0" wp14:anchorId="786C7596" wp14:editId="4A855C21">
            <wp:extent cx="4655995" cy="1575289"/>
            <wp:effectExtent l="0" t="0" r="0" b="635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cstate="screen">
                      <a:extLst>
                        <a:ext uri="{28A0092B-C50C-407E-A947-70E740481C1C}">
                          <a14:useLocalDpi xmlns:a14="http://schemas.microsoft.com/office/drawing/2010/main"/>
                        </a:ext>
                      </a:extLst>
                    </a:blip>
                    <a:srcRect/>
                    <a:stretch/>
                  </pic:blipFill>
                  <pic:spPr bwMode="auto">
                    <a:xfrm>
                      <a:off x="0" y="0"/>
                      <a:ext cx="4678648" cy="1582953"/>
                    </a:xfrm>
                    <a:prstGeom prst="rect">
                      <a:avLst/>
                    </a:prstGeom>
                    <a:ln>
                      <a:noFill/>
                    </a:ln>
                    <a:extLst>
                      <a:ext uri="{53640926-AAD7-44D8-BBD7-CCE9431645EC}">
                        <a14:shadowObscured xmlns:a14="http://schemas.microsoft.com/office/drawing/2010/main"/>
                      </a:ext>
                    </a:extLst>
                  </pic:spPr>
                </pic:pic>
              </a:graphicData>
            </a:graphic>
          </wp:inline>
        </w:drawing>
      </w:r>
    </w:p>
    <w:p w14:paraId="14D70FA4"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5. SQ </w:t>
      </w:r>
      <w:r w:rsidRPr="002A63BA">
        <w:rPr>
          <w:rFonts w:ascii="Open Sans" w:hAnsi="Open Sans" w:cs="Open Sans"/>
          <w:i/>
          <w:iCs/>
        </w:rPr>
        <w:t>“Do you wish to live in a smart city?”</w:t>
      </w:r>
      <w:r w:rsidRPr="002A63BA">
        <w:rPr>
          <w:rFonts w:ascii="Open Sans" w:hAnsi="Open Sans" w:cs="Open Sans"/>
        </w:rPr>
        <w:t xml:space="preserve"> (Author research, n=142)</w:t>
      </w:r>
    </w:p>
    <w:p w14:paraId="197FCFC9" w14:textId="77777777" w:rsidR="00AE101A" w:rsidRPr="002A63BA" w:rsidRDefault="00AE101A" w:rsidP="00FF3EE4">
      <w:pPr>
        <w:spacing w:line="276" w:lineRule="auto"/>
        <w:rPr>
          <w:rFonts w:ascii="Open Sans" w:hAnsi="Open Sans" w:cs="Open Sans"/>
        </w:rPr>
      </w:pPr>
      <w:r w:rsidRPr="002A63BA">
        <w:rPr>
          <w:rFonts w:ascii="Open Sans" w:hAnsi="Open Sans" w:cs="Open Sans"/>
        </w:rPr>
        <w:t>Students see the major investment possibilities in mobile and network technology, as well as big data analytics and sensor technology (Figure 6).</w:t>
      </w:r>
    </w:p>
    <w:p w14:paraId="57531741" w14:textId="77777777" w:rsidR="00AE101A" w:rsidRPr="002A63BA" w:rsidRDefault="00AE101A" w:rsidP="00FF3EE4">
      <w:pPr>
        <w:spacing w:line="276" w:lineRule="auto"/>
        <w:rPr>
          <w:rFonts w:ascii="Open Sans" w:hAnsi="Open Sans" w:cs="Open Sans"/>
          <w:i/>
        </w:rPr>
      </w:pPr>
    </w:p>
    <w:p w14:paraId="29AFEC29" w14:textId="77777777" w:rsidR="00AE101A" w:rsidRPr="002A63BA" w:rsidRDefault="00AE101A" w:rsidP="00FF3EE4">
      <w:pPr>
        <w:spacing w:line="276" w:lineRule="auto"/>
        <w:rPr>
          <w:rFonts w:ascii="Open Sans" w:hAnsi="Open Sans" w:cs="Open Sans"/>
          <w:i/>
        </w:rPr>
      </w:pPr>
      <w:r w:rsidRPr="002A63BA">
        <w:rPr>
          <w:rFonts w:ascii="Open Sans" w:hAnsi="Open Sans" w:cs="Open Sans"/>
          <w:noProof/>
          <w:lang w:val="hr-HR" w:eastAsia="hr-HR"/>
        </w:rPr>
        <w:lastRenderedPageBreak/>
        <w:drawing>
          <wp:inline distT="0" distB="0" distL="0" distR="0" wp14:anchorId="2650A62C" wp14:editId="23ADBF48">
            <wp:extent cx="4664075" cy="1834623"/>
            <wp:effectExtent l="0" t="0" r="3175"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cstate="screen">
                      <a:extLst>
                        <a:ext uri="{28A0092B-C50C-407E-A947-70E740481C1C}">
                          <a14:useLocalDpi xmlns:a14="http://schemas.microsoft.com/office/drawing/2010/main"/>
                        </a:ext>
                      </a:extLst>
                    </a:blip>
                    <a:srcRect/>
                    <a:stretch/>
                  </pic:blipFill>
                  <pic:spPr bwMode="auto">
                    <a:xfrm>
                      <a:off x="0" y="0"/>
                      <a:ext cx="4684402" cy="1842618"/>
                    </a:xfrm>
                    <a:prstGeom prst="rect">
                      <a:avLst/>
                    </a:prstGeom>
                    <a:ln>
                      <a:noFill/>
                    </a:ln>
                    <a:extLst>
                      <a:ext uri="{53640926-AAD7-44D8-BBD7-CCE9431645EC}">
                        <a14:shadowObscured xmlns:a14="http://schemas.microsoft.com/office/drawing/2010/main"/>
                      </a:ext>
                    </a:extLst>
                  </pic:spPr>
                </pic:pic>
              </a:graphicData>
            </a:graphic>
          </wp:inline>
        </w:drawing>
      </w:r>
    </w:p>
    <w:p w14:paraId="5D03A8AD"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6. SQ </w:t>
      </w:r>
      <w:r w:rsidRPr="002A63BA">
        <w:rPr>
          <w:rFonts w:ascii="Open Sans" w:hAnsi="Open Sans" w:cs="Open Sans"/>
          <w:i/>
          <w:iCs/>
        </w:rPr>
        <w:t>”</w:t>
      </w:r>
      <w:r w:rsidRPr="002A63BA">
        <w:rPr>
          <w:rFonts w:ascii="Open Sans" w:hAnsi="Open Sans" w:cs="Open Sans"/>
          <w:i/>
          <w:iCs/>
          <w:lang w:val="sl-SI"/>
        </w:rPr>
        <w:t>If you would be a businessman/woman what would be the top three technologies you would invest in the next two years?</w:t>
      </w:r>
      <w:r w:rsidRPr="002A63BA">
        <w:rPr>
          <w:rFonts w:ascii="Open Sans" w:hAnsi="Open Sans" w:cs="Open Sans"/>
          <w:i/>
          <w:iCs/>
        </w:rPr>
        <w:t>”</w:t>
      </w:r>
      <w:r w:rsidRPr="002A63BA">
        <w:rPr>
          <w:rFonts w:ascii="Open Sans" w:hAnsi="Open Sans" w:cs="Open Sans"/>
        </w:rPr>
        <w:t xml:space="preserve"> (Author research, n=142)</w:t>
      </w:r>
    </w:p>
    <w:p w14:paraId="706ACF22"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24 students acknowledged that they do not know any smart city. Among most recognized smart cities 10 students named Tokyo due to its well organized public transportation: </w:t>
      </w:r>
      <w:r w:rsidRPr="002A63BA">
        <w:rPr>
          <w:rFonts w:ascii="Open Sans" w:hAnsi="Open Sans" w:cs="Open Sans"/>
          <w:i/>
        </w:rPr>
        <w:t>What fascinates me is the amount of solutions they provide for certain ongoing problems, but at the same time it scares me a little bit, because I feel the price for that is decreased well-being and interpersonal connection, due to the amount of work that is demanded and the stimulation that the technology provides. It is really up to the individual to smartly use and not abuse these things in my opinion and I feel for that some education about the subject is needed.</w:t>
      </w:r>
    </w:p>
    <w:p w14:paraId="4C9946D5" w14:textId="77777777" w:rsidR="00AE101A" w:rsidRPr="002A63BA" w:rsidRDefault="00AE101A" w:rsidP="00FF3EE4">
      <w:pPr>
        <w:spacing w:line="276" w:lineRule="auto"/>
        <w:rPr>
          <w:rFonts w:ascii="Open Sans" w:hAnsi="Open Sans" w:cs="Open Sans"/>
          <w:i/>
        </w:rPr>
      </w:pPr>
      <w:r w:rsidRPr="002A63BA">
        <w:rPr>
          <w:rFonts w:ascii="Open Sans" w:hAnsi="Open Sans" w:cs="Open Sans"/>
          <w:i/>
        </w:rPr>
        <w:t>I think Tokyo is a good example of a smart city, or any bigger cities in Japan or Korea. It’s just because the cities are in another country and I'm fascinated by their culture. They have so many new and improved things with public transportation that cannot be found anywhere else around the world.</w:t>
      </w:r>
    </w:p>
    <w:p w14:paraId="2F3F4068" w14:textId="77777777" w:rsidR="00AE101A" w:rsidRPr="002A63BA" w:rsidRDefault="00AE101A" w:rsidP="00FF3EE4">
      <w:pPr>
        <w:spacing w:line="276" w:lineRule="auto"/>
        <w:rPr>
          <w:rFonts w:ascii="Open Sans" w:hAnsi="Open Sans" w:cs="Open Sans"/>
          <w:i/>
        </w:rPr>
      </w:pPr>
      <w:r w:rsidRPr="002A63BA">
        <w:rPr>
          <w:rFonts w:ascii="Open Sans" w:hAnsi="Open Sans" w:cs="Open Sans"/>
        </w:rPr>
        <w:t xml:space="preserve">9 students recognized Singapore as most well-known smart city as </w:t>
      </w:r>
      <w:r w:rsidRPr="002A63BA">
        <w:rPr>
          <w:rFonts w:ascii="Open Sans" w:hAnsi="Open Sans" w:cs="Open Sans"/>
          <w:i/>
        </w:rPr>
        <w:t xml:space="preserve">it has adapted the technology in order to make life easier, due to its look and modern technology that enables that the population there is well organized. </w:t>
      </w:r>
      <w:r w:rsidRPr="002A63BA">
        <w:rPr>
          <w:rFonts w:ascii="Open Sans" w:hAnsi="Open Sans" w:cs="Open Sans"/>
        </w:rPr>
        <w:t>5 students perceive Dubai as a smart city due to it does strive for sustainability and</w:t>
      </w:r>
      <w:r w:rsidRPr="002A63BA">
        <w:rPr>
          <w:rFonts w:ascii="Open Sans" w:hAnsi="Open Sans" w:cs="Open Sans"/>
          <w:i/>
        </w:rPr>
        <w:t xml:space="preserve"> it has the technology which is used for traffic routing, parking, infrastructure planning and transportation. They also use telemedicine and smart healthcare.</w:t>
      </w:r>
    </w:p>
    <w:p w14:paraId="2896A642" w14:textId="77777777" w:rsidR="00AE101A" w:rsidRPr="002A63BA" w:rsidRDefault="00AE101A" w:rsidP="00FF3EE4">
      <w:pPr>
        <w:spacing w:line="276" w:lineRule="auto"/>
        <w:rPr>
          <w:rFonts w:ascii="Open Sans" w:hAnsi="Open Sans" w:cs="Open Sans"/>
          <w:i/>
        </w:rPr>
      </w:pPr>
      <w:r w:rsidRPr="002A63BA">
        <w:rPr>
          <w:rFonts w:ascii="Open Sans" w:hAnsi="Open Sans" w:cs="Open Sans"/>
        </w:rPr>
        <w:lastRenderedPageBreak/>
        <w:t>Among cities that students perceive as smart cities are also London, New York, Bilbao, Ljubljana, Split, Rotterdam, Shanghai, Beijing, Los Angeles, Oslo, Seoul, Amsterdam, Vrgorac, Moscow, Paris, Graz, Zagreb, Munich, Madrid, Vienna, Pardubice, Barcelona, Kranj, Maribor.</w:t>
      </w:r>
      <w:r w:rsidRPr="002A63BA">
        <w:rPr>
          <w:rFonts w:ascii="Open Sans" w:hAnsi="Open Sans" w:cs="Open Sans"/>
          <w:i/>
        </w:rPr>
        <w:t xml:space="preserve"> </w:t>
      </w:r>
    </w:p>
    <w:p w14:paraId="3674E89A" w14:textId="77777777" w:rsidR="00AE101A" w:rsidRPr="002A63BA" w:rsidRDefault="00AE101A" w:rsidP="00FF3EE4">
      <w:pPr>
        <w:spacing w:line="276" w:lineRule="auto"/>
        <w:rPr>
          <w:rFonts w:ascii="Open Sans" w:hAnsi="Open Sans" w:cs="Open Sans"/>
          <w:i/>
        </w:rPr>
      </w:pPr>
      <w:r w:rsidRPr="002A63BA">
        <w:rPr>
          <w:rFonts w:ascii="Open Sans" w:hAnsi="Open Sans" w:cs="Open Sans"/>
        </w:rPr>
        <w:t>Interesting example is provided from a student who is fascinated by the partnership ecosystem within the smart city of Pardubice:</w:t>
      </w:r>
      <w:r w:rsidRPr="002A63BA">
        <w:rPr>
          <w:rFonts w:ascii="Open Sans" w:hAnsi="Open Sans" w:cs="Open Sans"/>
          <w:i/>
        </w:rPr>
        <w:t xml:space="preserve"> Pardubice (Czech Republic) - uses new technologies that improve the functioning of the urban ecosystem. Thanks to new technologies, the operation of the city is simpler, more environmentally friendly and energy-efficient. What fascinates me is that it is not that big city and still it is able and trying to do the best for being a smart city. Another thing is involvement of students and local people, for example the local University of Pardubice, specifically the Faculty of Electrical Engineering and Informatics, also took part in the cooperation on the Pardubice project.</w:t>
      </w:r>
    </w:p>
    <w:p w14:paraId="3E0C1F62" w14:textId="77777777" w:rsidR="00AE101A" w:rsidRPr="002A63BA" w:rsidRDefault="00AE101A" w:rsidP="00FF3EE4">
      <w:pPr>
        <w:spacing w:line="276" w:lineRule="auto"/>
        <w:rPr>
          <w:rFonts w:ascii="Open Sans" w:hAnsi="Open Sans" w:cs="Open Sans"/>
        </w:rPr>
      </w:pPr>
      <w:r w:rsidRPr="002A63BA">
        <w:rPr>
          <w:rFonts w:ascii="Open Sans" w:hAnsi="Open Sans" w:cs="Open Sans"/>
        </w:rPr>
        <w:t>Students perceive that 5G, artificial intelligence, machine learning and mobile phone apps will take off in smart cities in the Figure 7.</w:t>
      </w:r>
    </w:p>
    <w:p w14:paraId="721CB85B" w14:textId="77777777" w:rsidR="00AE101A" w:rsidRPr="002A63BA" w:rsidRDefault="00AE101A" w:rsidP="00FF3EE4">
      <w:pPr>
        <w:spacing w:line="276" w:lineRule="auto"/>
        <w:rPr>
          <w:rFonts w:ascii="Open Sans" w:hAnsi="Open Sans" w:cs="Open Sans"/>
          <w:i/>
        </w:rPr>
      </w:pPr>
      <w:r w:rsidRPr="002A63BA">
        <w:rPr>
          <w:rFonts w:ascii="Open Sans" w:hAnsi="Open Sans" w:cs="Open Sans"/>
          <w:noProof/>
          <w:lang w:val="hr-HR" w:eastAsia="hr-HR"/>
        </w:rPr>
        <w:drawing>
          <wp:inline distT="0" distB="0" distL="0" distR="0" wp14:anchorId="49090B31" wp14:editId="5BE94D86">
            <wp:extent cx="4743370" cy="1912650"/>
            <wp:effectExtent l="0" t="0" r="635"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cstate="screen">
                      <a:extLst>
                        <a:ext uri="{28A0092B-C50C-407E-A947-70E740481C1C}">
                          <a14:useLocalDpi xmlns:a14="http://schemas.microsoft.com/office/drawing/2010/main"/>
                        </a:ext>
                      </a:extLst>
                    </a:blip>
                    <a:srcRect/>
                    <a:stretch/>
                  </pic:blipFill>
                  <pic:spPr bwMode="auto">
                    <a:xfrm>
                      <a:off x="0" y="0"/>
                      <a:ext cx="4763306" cy="1920689"/>
                    </a:xfrm>
                    <a:prstGeom prst="rect">
                      <a:avLst/>
                    </a:prstGeom>
                    <a:ln>
                      <a:noFill/>
                    </a:ln>
                    <a:extLst>
                      <a:ext uri="{53640926-AAD7-44D8-BBD7-CCE9431645EC}">
                        <a14:shadowObscured xmlns:a14="http://schemas.microsoft.com/office/drawing/2010/main"/>
                      </a:ext>
                    </a:extLst>
                  </pic:spPr>
                </pic:pic>
              </a:graphicData>
            </a:graphic>
          </wp:inline>
        </w:drawing>
      </w:r>
    </w:p>
    <w:p w14:paraId="52D97F62"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7. SQ </w:t>
      </w:r>
      <w:r w:rsidRPr="002A63BA">
        <w:rPr>
          <w:rFonts w:ascii="Open Sans" w:hAnsi="Open Sans" w:cs="Open Sans"/>
          <w:i/>
          <w:iCs/>
        </w:rPr>
        <w:t>“Which technologies will take off smart cities of the future?”</w:t>
      </w:r>
      <w:r w:rsidRPr="002A63BA">
        <w:rPr>
          <w:rFonts w:ascii="Open Sans" w:hAnsi="Open Sans" w:cs="Open Sans"/>
        </w:rPr>
        <w:t xml:space="preserve"> (Author research, n=142)</w:t>
      </w:r>
    </w:p>
    <w:p w14:paraId="7CF8A40C"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52,2% of students is not willing to trade privacy for better service (Figure 8). When we asked additional question “How comfortable are you personally with sharing/allowing access to your personal data for the </w:t>
      </w:r>
      <w:r w:rsidRPr="002A63BA">
        <w:rPr>
          <w:rFonts w:ascii="Open Sans" w:hAnsi="Open Sans" w:cs="Open Sans"/>
        </w:rPr>
        <w:lastRenderedPageBreak/>
        <w:t>purposes of developing smart city technology?” 59,9% of students said no (Figure 9).</w:t>
      </w:r>
    </w:p>
    <w:p w14:paraId="69BA4B34" w14:textId="77777777" w:rsidR="00AE101A" w:rsidRPr="002A63BA" w:rsidRDefault="00AE101A" w:rsidP="00FF3EE4">
      <w:pPr>
        <w:spacing w:line="276" w:lineRule="auto"/>
        <w:rPr>
          <w:rFonts w:ascii="Open Sans" w:hAnsi="Open Sans" w:cs="Open Sans"/>
        </w:rPr>
      </w:pPr>
      <w:r w:rsidRPr="002A63BA">
        <w:rPr>
          <w:rFonts w:ascii="Open Sans" w:hAnsi="Open Sans" w:cs="Open Sans"/>
          <w:noProof/>
          <w:lang w:val="hr-HR" w:eastAsia="hr-HR"/>
        </w:rPr>
        <w:drawing>
          <wp:inline distT="0" distB="0" distL="0" distR="0" wp14:anchorId="2D443ADE" wp14:editId="5D4DE91E">
            <wp:extent cx="4723623" cy="1542796"/>
            <wp:effectExtent l="0" t="0" r="1270" b="635"/>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cstate="screen">
                      <a:extLst>
                        <a:ext uri="{28A0092B-C50C-407E-A947-70E740481C1C}">
                          <a14:useLocalDpi xmlns:a14="http://schemas.microsoft.com/office/drawing/2010/main"/>
                        </a:ext>
                      </a:extLst>
                    </a:blip>
                    <a:srcRect/>
                    <a:stretch/>
                  </pic:blipFill>
                  <pic:spPr bwMode="auto">
                    <a:xfrm>
                      <a:off x="0" y="0"/>
                      <a:ext cx="4755029" cy="1553054"/>
                    </a:xfrm>
                    <a:prstGeom prst="rect">
                      <a:avLst/>
                    </a:prstGeom>
                    <a:ln>
                      <a:noFill/>
                    </a:ln>
                    <a:extLst>
                      <a:ext uri="{53640926-AAD7-44D8-BBD7-CCE9431645EC}">
                        <a14:shadowObscured xmlns:a14="http://schemas.microsoft.com/office/drawing/2010/main"/>
                      </a:ext>
                    </a:extLst>
                  </pic:spPr>
                </pic:pic>
              </a:graphicData>
            </a:graphic>
          </wp:inline>
        </w:drawing>
      </w:r>
    </w:p>
    <w:p w14:paraId="2AE40AFE"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8. SQ </w:t>
      </w:r>
      <w:r w:rsidRPr="002A63BA">
        <w:rPr>
          <w:rFonts w:ascii="Open Sans" w:hAnsi="Open Sans" w:cs="Open Sans"/>
          <w:i/>
          <w:iCs/>
        </w:rPr>
        <w:t>”Would you be willing to trade reduced privacy for better services?”</w:t>
      </w:r>
      <w:r w:rsidRPr="002A63BA">
        <w:rPr>
          <w:rFonts w:ascii="Open Sans" w:hAnsi="Open Sans" w:cs="Open Sans"/>
        </w:rPr>
        <w:t xml:space="preserve"> (Author research, n=142)</w:t>
      </w:r>
    </w:p>
    <w:p w14:paraId="09868AD8" w14:textId="77777777" w:rsidR="00AE101A" w:rsidRPr="002A63BA" w:rsidRDefault="00AE101A" w:rsidP="00FF3EE4">
      <w:pPr>
        <w:spacing w:line="276" w:lineRule="auto"/>
        <w:rPr>
          <w:rFonts w:ascii="Open Sans" w:hAnsi="Open Sans" w:cs="Open Sans"/>
          <w:i/>
        </w:rPr>
      </w:pPr>
      <w:r w:rsidRPr="002A63BA">
        <w:rPr>
          <w:rFonts w:ascii="Open Sans" w:hAnsi="Open Sans" w:cs="Open Sans"/>
          <w:noProof/>
          <w:lang w:val="hr-HR" w:eastAsia="hr-HR"/>
        </w:rPr>
        <w:drawing>
          <wp:inline distT="0" distB="0" distL="0" distR="0" wp14:anchorId="032AF7EA" wp14:editId="2F949D24">
            <wp:extent cx="4721225" cy="1485099"/>
            <wp:effectExtent l="0" t="0" r="3175" b="127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cstate="screen">
                      <a:extLst>
                        <a:ext uri="{28A0092B-C50C-407E-A947-70E740481C1C}">
                          <a14:useLocalDpi xmlns:a14="http://schemas.microsoft.com/office/drawing/2010/main"/>
                        </a:ext>
                      </a:extLst>
                    </a:blip>
                    <a:srcRect/>
                    <a:stretch/>
                  </pic:blipFill>
                  <pic:spPr bwMode="auto">
                    <a:xfrm>
                      <a:off x="0" y="0"/>
                      <a:ext cx="4745979" cy="1492885"/>
                    </a:xfrm>
                    <a:prstGeom prst="rect">
                      <a:avLst/>
                    </a:prstGeom>
                    <a:ln>
                      <a:noFill/>
                    </a:ln>
                    <a:extLst>
                      <a:ext uri="{53640926-AAD7-44D8-BBD7-CCE9431645EC}">
                        <a14:shadowObscured xmlns:a14="http://schemas.microsoft.com/office/drawing/2010/main"/>
                      </a:ext>
                    </a:extLst>
                  </pic:spPr>
                </pic:pic>
              </a:graphicData>
            </a:graphic>
          </wp:inline>
        </w:drawing>
      </w:r>
    </w:p>
    <w:p w14:paraId="09892869" w14:textId="77777777" w:rsidR="00AE101A" w:rsidRPr="002A63BA" w:rsidRDefault="00AE101A" w:rsidP="00FF3EE4">
      <w:pPr>
        <w:spacing w:line="276" w:lineRule="auto"/>
        <w:rPr>
          <w:rFonts w:ascii="Open Sans" w:hAnsi="Open Sans" w:cs="Open Sans"/>
          <w:i/>
        </w:rPr>
      </w:pPr>
      <w:r w:rsidRPr="002A63BA">
        <w:rPr>
          <w:rFonts w:ascii="Open Sans" w:hAnsi="Open Sans" w:cs="Open Sans"/>
        </w:rPr>
        <w:t xml:space="preserve">Figure 9. SQ </w:t>
      </w:r>
      <w:r w:rsidRPr="002A63BA">
        <w:rPr>
          <w:rFonts w:ascii="Open Sans" w:hAnsi="Open Sans" w:cs="Open Sans"/>
          <w:i/>
          <w:iCs/>
        </w:rPr>
        <w:t>“How comfortable are you personally with sharing/allowing access to your personal data for the purposes of developing smart city technology?”</w:t>
      </w:r>
      <w:r w:rsidRPr="002A63BA">
        <w:rPr>
          <w:rFonts w:ascii="Open Sans" w:hAnsi="Open Sans" w:cs="Open Sans"/>
          <w:i/>
        </w:rPr>
        <w:t xml:space="preserve"> </w:t>
      </w:r>
      <w:r w:rsidRPr="002A63BA">
        <w:rPr>
          <w:rFonts w:ascii="Open Sans" w:hAnsi="Open Sans" w:cs="Open Sans"/>
        </w:rPr>
        <w:t>(Author research, n=142)</w:t>
      </w:r>
    </w:p>
    <w:p w14:paraId="6DDFF080" w14:textId="77777777" w:rsidR="00AE101A" w:rsidRPr="002A63BA" w:rsidRDefault="00AE101A" w:rsidP="00FF3EE4">
      <w:pPr>
        <w:spacing w:line="276" w:lineRule="auto"/>
        <w:rPr>
          <w:rFonts w:ascii="Open Sans" w:hAnsi="Open Sans" w:cs="Open Sans"/>
        </w:rPr>
      </w:pPr>
      <w:r w:rsidRPr="002A63BA">
        <w:rPr>
          <w:rFonts w:ascii="Open Sans" w:hAnsi="Open Sans" w:cs="Open Sans"/>
        </w:rPr>
        <w:t>Students perceive financing, national security concerns and the sharing of data to enable new technology (Figure 10).</w:t>
      </w:r>
    </w:p>
    <w:p w14:paraId="431A4CB8" w14:textId="77777777" w:rsidR="00AE101A" w:rsidRPr="002A63BA" w:rsidRDefault="00AE101A" w:rsidP="00FF3EE4">
      <w:pPr>
        <w:spacing w:line="276" w:lineRule="auto"/>
        <w:rPr>
          <w:rFonts w:ascii="Open Sans" w:hAnsi="Open Sans" w:cs="Open Sans"/>
          <w:b/>
        </w:rPr>
      </w:pPr>
      <w:r w:rsidRPr="002A63BA">
        <w:rPr>
          <w:rFonts w:ascii="Open Sans" w:hAnsi="Open Sans" w:cs="Open Sans"/>
          <w:noProof/>
          <w:lang w:val="hr-HR" w:eastAsia="hr-HR"/>
        </w:rPr>
        <w:lastRenderedPageBreak/>
        <w:drawing>
          <wp:inline distT="0" distB="0" distL="0" distR="0" wp14:anchorId="0EE25E28" wp14:editId="336556FC">
            <wp:extent cx="4615273" cy="1854215"/>
            <wp:effectExtent l="0" t="0" r="0" b="0"/>
            <wp:docPr id="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cstate="screen">
                      <a:extLst>
                        <a:ext uri="{28A0092B-C50C-407E-A947-70E740481C1C}">
                          <a14:useLocalDpi xmlns:a14="http://schemas.microsoft.com/office/drawing/2010/main"/>
                        </a:ext>
                      </a:extLst>
                    </a:blip>
                    <a:srcRect/>
                    <a:stretch/>
                  </pic:blipFill>
                  <pic:spPr bwMode="auto">
                    <a:xfrm>
                      <a:off x="0" y="0"/>
                      <a:ext cx="4629885" cy="1860086"/>
                    </a:xfrm>
                    <a:prstGeom prst="rect">
                      <a:avLst/>
                    </a:prstGeom>
                    <a:ln>
                      <a:noFill/>
                    </a:ln>
                    <a:extLst>
                      <a:ext uri="{53640926-AAD7-44D8-BBD7-CCE9431645EC}">
                        <a14:shadowObscured xmlns:a14="http://schemas.microsoft.com/office/drawing/2010/main"/>
                      </a:ext>
                    </a:extLst>
                  </pic:spPr>
                </pic:pic>
              </a:graphicData>
            </a:graphic>
          </wp:inline>
        </w:drawing>
      </w:r>
    </w:p>
    <w:p w14:paraId="62FE102C"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Figure 10. SQ </w:t>
      </w:r>
      <w:r w:rsidRPr="002A63BA">
        <w:rPr>
          <w:rFonts w:ascii="Open Sans" w:hAnsi="Open Sans" w:cs="Open Sans"/>
          <w:i/>
          <w:iCs/>
        </w:rPr>
        <w:t>“What do you think are the biggest obstacles to smart city implementation?”</w:t>
      </w:r>
      <w:r w:rsidRPr="002A63BA">
        <w:rPr>
          <w:rFonts w:ascii="Open Sans" w:hAnsi="Open Sans" w:cs="Open Sans"/>
        </w:rPr>
        <w:t xml:space="preserve"> (Author research, n=142)</w:t>
      </w:r>
    </w:p>
    <w:p w14:paraId="47BF6650" w14:textId="77777777" w:rsidR="00AE101A" w:rsidRPr="002A63BA" w:rsidRDefault="00AE101A" w:rsidP="00FF3EE4">
      <w:pPr>
        <w:pStyle w:val="N1"/>
      </w:pPr>
      <w:r w:rsidRPr="002A63BA">
        <w:t>Discussion and conclusion</w:t>
      </w:r>
    </w:p>
    <w:p w14:paraId="14C4EE58"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Challenges that smart cities are dealing with are growing, and over time stand as imperative for current business students. Respectively, high educated business staff needs to be prepared as much as possible, to face them and consider the topic from a broader perspective. In that context, some related reflections and considerations derive from this research results. </w:t>
      </w:r>
    </w:p>
    <w:p w14:paraId="61F8734B"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Having in mind that climate change is the key challenge being addressed in our time (European Environment Agency, 2021) the use of personal vehicle (Figure 1) as the most useful mode of transport is not the most optimal solution. However, comparing the same questions with CBRE Research (2018) provided by officials in 14 UK cities, the CBRE findings are only slightly more favorable and indicate that personal vehicles are the second most used means of transportation, just behind public transport. Yet, the delightful fact is that, the transport mode, which, the students suppose, their cities residents will gravitate towards in the short term is dominantly public transport, with significantly growth of biking and e-scooter use (Figure 2). </w:t>
      </w:r>
    </w:p>
    <w:p w14:paraId="136BEF7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The more the technology is used, like mobile apps, cloud-based technology and Internet of Things / sensors (as presented in Figure 3), the </w:t>
      </w:r>
      <w:r w:rsidRPr="002A63BA">
        <w:rPr>
          <w:rFonts w:ascii="Open Sans" w:hAnsi="Open Sans" w:cs="Open Sans"/>
        </w:rPr>
        <w:lastRenderedPageBreak/>
        <w:t>better is understood, even accepted, smart service platforms through which such digital technology has been increasingly embedded in social creativity as elaborated in the study (Anttiroiko et al., 2014). On the same line, the more as familiarity with the assortment of smart city applications grows, like with parking management, street lighting, ride sharing (as presented in Figure 4) more positive social change driven by ICT adoption may be expected, but also wider understanding of the smart cities and its specifies (Kummitha &amp; Crutzen, 2017).</w:t>
      </w:r>
    </w:p>
    <w:p w14:paraId="2ECEA5A9" w14:textId="77777777" w:rsidR="00AE101A" w:rsidRPr="002A63BA" w:rsidRDefault="00AE101A" w:rsidP="00FF3EE4">
      <w:pPr>
        <w:spacing w:line="276" w:lineRule="auto"/>
        <w:rPr>
          <w:rFonts w:ascii="Open Sans" w:hAnsi="Open Sans" w:cs="Open Sans"/>
        </w:rPr>
      </w:pPr>
      <w:r w:rsidRPr="002A63BA">
        <w:rPr>
          <w:rFonts w:ascii="Open Sans" w:hAnsi="Open Sans" w:cs="Open Sans"/>
        </w:rPr>
        <w:t>Given that just over 60 % (Figure 5) of respondents expressed a desire to live in a smart city, the more responsible both, in smart cities management and in process of training and education, need to pay additional attention to cope with smart cities weakness (Bašić et al., 2019; Heitlinger et al., 2019; Kitchen et al., 2019; Trencher, 2019; Weber &amp; Podnar, 2019), as already mentioned previously in this research. However, the core question remains whether fixing the downsides would significantly affect the tendency to maintain privacy, which is according to our findings high (concisely by Figures 8 and 9). Threat to privacy, censorship, surveillance and manipulation due to incomplete control and ownership of the user's account are not enough explored areas and thus opportunity for a new research. To this should be added a call for further research into the possible links between data sharing and threats to national security, as suggested by the results of this study (Figure 10).</w:t>
      </w:r>
    </w:p>
    <w:p w14:paraId="48B620C8"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Taking into account the raising trend toward digital governance of data driven smart cities (Dubman, 2019), the major investment possibilities in mobile and network technology, big data analytics and sensor technology (as presented in Figure 6) seems very certain and understandable, then consequently, the number of investors from all over (CB Insights, 2021) is expected to raise. </w:t>
      </w:r>
    </w:p>
    <w:p w14:paraId="0E147113"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Finally, respecting that 5G, artificial intelligence, machine learning and mobile phone apps will take off in smart cities (as presented in Figure 7), and,  in line with many recent studies outputs (Allam &amp; Dhunny, 2019; Almao &amp; Golpayegani, 2019; Guevara &amp; Auat Cheein, 2020; Nosratbadi et </w:t>
      </w:r>
      <w:r w:rsidRPr="002A63BA">
        <w:rPr>
          <w:rFonts w:ascii="Open Sans" w:hAnsi="Open Sans" w:cs="Open Sans"/>
        </w:rPr>
        <w:lastRenderedPageBreak/>
        <w:t xml:space="preserve">al., 2019; Voda &amp; Radu, 2018), we repeat and point out again  the important role of university in training/educating future staff to be “solving problems” with technologies, not using technologies for the sake of using it. </w:t>
      </w:r>
    </w:p>
    <w:p w14:paraId="4142A644" w14:textId="77777777" w:rsidR="00AE101A" w:rsidRPr="002A63BA" w:rsidRDefault="00AE101A" w:rsidP="00FF3EE4">
      <w:pPr>
        <w:spacing w:line="276" w:lineRule="auto"/>
        <w:rPr>
          <w:rFonts w:ascii="Open Sans" w:hAnsi="Open Sans" w:cs="Open Sans"/>
        </w:rPr>
      </w:pPr>
      <w:r w:rsidRPr="002A63BA">
        <w:rPr>
          <w:rFonts w:ascii="Open Sans" w:hAnsi="Open Sans" w:cs="Open Sans"/>
        </w:rPr>
        <w:t>Contribute to this is the perception of the university as a mediator of knowledge (Ardito et al., 2019) with offer a wide range of roles and occupations required for the development of smart city ecosystem (Ferraris et al., 2020).</w:t>
      </w:r>
    </w:p>
    <w:p w14:paraId="34F159AB"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Smart city can be presented to students through the following learning modality mechanisms within corporate as well as educational institutions: a) virtual classroom learning on the smart city functioning and technology needed to function (facilitator-led with two way interaction but no need for co-location); b) instructor-led (facilitator-led to allow for in-person interaction); c) academic courses on specific aspects of smart cities (internal or external series of structured courses/content, possibly for academic credit); d) program in collaboration with the mayor of a chosen smart city (structured learning focused on a topic, capability, role, etc.); e) discussion boards on topics concerning smart city technology which produces fear or excitement (online site with groups for learning, discussions and questions); f) collaboration tools (learners can identify peer "experts", search peer-generated content, and share their own resources); g) peer feedback on own experiences with the technology and benefits that smart cities offer (peers review and provide feedback to other peers to learn from each other); h) coaching/mentoring from smart city experts from different disciplines (on-on-one interactions to provide support and reinforcement); i) web based  (e-learning to reach large numbers of dispersed learners); j) job aids on new professions that smart city needs (self-study materials to provide information when needed by the learner, such as Quick reference guides); k) podcasts and videos of smart city cases (internal or external content focused on market trends, management skills, an more); l) interactive support (internal support team to answer day-to-day questions via phone or online chat); m) QR codes/beacons (Geo-based activities connecting learning to a specific </w:t>
      </w:r>
      <w:r w:rsidRPr="002A63BA">
        <w:rPr>
          <w:rFonts w:ascii="Open Sans" w:hAnsi="Open Sans" w:cs="Open Sans"/>
        </w:rPr>
        <w:lastRenderedPageBreak/>
        <w:t xml:space="preserve">location); n) voice recognition (hands free technology providing access to information without stopping work); and o) mobile learning (mobile access to the learning platform) (Deloitte, COVID-19 - The upskilling imperative, 2022). </w:t>
      </w:r>
    </w:p>
    <w:p w14:paraId="2A09BC3B" w14:textId="77777777" w:rsidR="00AE101A" w:rsidRPr="002A63BA" w:rsidRDefault="00AE101A" w:rsidP="00FF3EE4">
      <w:pPr>
        <w:spacing w:line="276" w:lineRule="auto"/>
        <w:rPr>
          <w:rFonts w:ascii="Open Sans" w:hAnsi="Open Sans" w:cs="Open Sans"/>
        </w:rPr>
      </w:pPr>
      <w:r w:rsidRPr="002A63BA">
        <w:rPr>
          <w:rFonts w:ascii="Open Sans" w:hAnsi="Open Sans" w:cs="Open Sans"/>
        </w:rPr>
        <w:t>Teaching staff could collaborate more closely with identified good practice role models of smart cities, such as Ēvora, Torino, Leuven, Amsterdam, Johannesburg, Trikola, Hangzhou, Changsha, Dehradun, Nagpur, Allahabad, Pune, Nara, Singapure, Newark, Quayside, Porto Alegre, Algiers (Anthopoulos, 2019). The city of Vienna (Roblek, 2019) was also identified as a smart city in the nearby vicinity of Slovenia and Croatia, therefore excursions could be held to show students the characteristics of functioning smart city, nowadays and the challenges they are facing and students could help in solving.</w:t>
      </w:r>
    </w:p>
    <w:p w14:paraId="1900AB29" w14:textId="51C192FC" w:rsidR="002E71B6" w:rsidRPr="00FF3EE4" w:rsidRDefault="00AE101A" w:rsidP="00FF3EE4">
      <w:pPr>
        <w:spacing w:line="276" w:lineRule="auto"/>
        <w:rPr>
          <w:rFonts w:ascii="Open Sans" w:hAnsi="Open Sans" w:cs="Open Sans"/>
        </w:rPr>
      </w:pPr>
      <w:r w:rsidRPr="002A63BA">
        <w:rPr>
          <w:rFonts w:ascii="Open Sans" w:hAnsi="Open Sans" w:cs="Open Sans"/>
        </w:rPr>
        <w:t xml:space="preserve">We wish to conclude with a quote from one of the participants: </w:t>
      </w:r>
      <w:r w:rsidRPr="002A63BA">
        <w:rPr>
          <w:rFonts w:ascii="Open Sans" w:hAnsi="Open Sans" w:cs="Open Sans"/>
          <w:i/>
        </w:rPr>
        <w:t>I didn’t know that smart cities exist already and was fascinated that smart cities exist already nowadays and that they even exist in my country.</w:t>
      </w:r>
      <w:r w:rsidRPr="002A63BA">
        <w:rPr>
          <w:rFonts w:ascii="Open Sans" w:hAnsi="Open Sans" w:cs="Open Sans"/>
        </w:rPr>
        <w:t xml:space="preserve"> We think that students need to be introduced to the concept of smart city in a business classroom as it will affect their everyday lives as well as enable them professional opportunities in the near future.</w:t>
      </w:r>
    </w:p>
    <w:p w14:paraId="364A23B7" w14:textId="660B1215" w:rsidR="00AE101A" w:rsidRPr="002A63BA" w:rsidRDefault="00FF3EE4" w:rsidP="00FF3EE4">
      <w:pPr>
        <w:spacing w:line="276" w:lineRule="auto"/>
        <w:rPr>
          <w:rFonts w:ascii="Open Sans" w:hAnsi="Open Sans" w:cs="Open Sans"/>
          <w:b/>
        </w:rPr>
      </w:pPr>
      <w:r>
        <w:rPr>
          <w:rFonts w:ascii="Open Sans" w:hAnsi="Open Sans" w:cs="Open Sans"/>
          <w:b/>
        </w:rPr>
        <w:t>REFERENCES</w:t>
      </w:r>
    </w:p>
    <w:p w14:paraId="5548ED49"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Allam, Z., Dhunny, Z. A. (2019). On big data, artificial intelligence and smart cities. </w:t>
      </w:r>
      <w:r w:rsidRPr="002A63BA">
        <w:rPr>
          <w:rFonts w:ascii="Open Sans" w:hAnsi="Open Sans" w:cs="Open Sans"/>
          <w:i/>
          <w:iCs/>
          <w:color w:val="222222"/>
          <w:shd w:val="clear" w:color="auto" w:fill="FFFFFF"/>
        </w:rPr>
        <w:t>Cities</w:t>
      </w:r>
      <w:r w:rsidRPr="002A63BA">
        <w:rPr>
          <w:rFonts w:ascii="Open Sans" w:hAnsi="Open Sans" w:cs="Open Sans"/>
          <w:color w:val="222222"/>
          <w:shd w:val="clear" w:color="auto" w:fill="FFFFFF"/>
        </w:rPr>
        <w:t>, 89, pp. 80-91.</w:t>
      </w:r>
    </w:p>
    <w:p w14:paraId="69C3E022"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Almao, E. C., Golpayegani, F. (2019). Are mobile apps usable and accessible for senior citizens in smart cities?, In: </w:t>
      </w:r>
      <w:r w:rsidRPr="002A63BA">
        <w:rPr>
          <w:rFonts w:ascii="Open Sans" w:hAnsi="Open Sans" w:cs="Open Sans"/>
          <w:i/>
          <w:iCs/>
          <w:color w:val="222222"/>
          <w:shd w:val="clear" w:color="auto" w:fill="FFFFFF"/>
        </w:rPr>
        <w:t>International Conference on Human-Computer Interaction</w:t>
      </w:r>
      <w:r w:rsidRPr="002A63BA">
        <w:rPr>
          <w:rFonts w:ascii="Open Sans" w:hAnsi="Open Sans" w:cs="Open Sans"/>
          <w:color w:val="222222"/>
          <w:shd w:val="clear" w:color="auto" w:fill="FFFFFF"/>
        </w:rPr>
        <w:t>, Springer, Cham, pp. 357-375.</w:t>
      </w:r>
    </w:p>
    <w:p w14:paraId="1A7A77A8"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Anthopoulos, L. (2019). </w:t>
      </w:r>
      <w:r w:rsidRPr="002A63BA">
        <w:rPr>
          <w:rFonts w:ascii="Open Sans" w:hAnsi="Open Sans" w:cs="Open Sans"/>
          <w:i/>
          <w:iCs/>
          <w:color w:val="222222"/>
          <w:shd w:val="clear" w:color="auto" w:fill="FFFFFF"/>
        </w:rPr>
        <w:t>Smart City Emergence: Cases from Around the World</w:t>
      </w:r>
      <w:r w:rsidRPr="002A63BA">
        <w:rPr>
          <w:rFonts w:ascii="Open Sans" w:hAnsi="Open Sans" w:cs="Open Sans"/>
          <w:color w:val="222222"/>
          <w:shd w:val="clear" w:color="auto" w:fill="FFFFFF"/>
        </w:rPr>
        <w:t>. Oxford: Elsevier Inc.</w:t>
      </w:r>
    </w:p>
    <w:p w14:paraId="674D32CF"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Anttiroiko, A. V., Valkama, P., Bailey, S. J. (2014). Smart cities in the new service economy: building platforms for smart services. </w:t>
      </w:r>
      <w:r w:rsidRPr="002A63BA">
        <w:rPr>
          <w:rFonts w:ascii="Open Sans" w:hAnsi="Open Sans" w:cs="Open Sans"/>
          <w:i/>
          <w:iCs/>
          <w:color w:val="222222"/>
          <w:shd w:val="clear" w:color="auto" w:fill="FFFFFF"/>
        </w:rPr>
        <w:t>AI &amp; society</w:t>
      </w:r>
      <w:r w:rsidRPr="002A63BA">
        <w:rPr>
          <w:rFonts w:ascii="Open Sans" w:hAnsi="Open Sans" w:cs="Open Sans"/>
          <w:color w:val="222222"/>
          <w:shd w:val="clear" w:color="auto" w:fill="FFFFFF"/>
        </w:rPr>
        <w:t>, 29(3), pp. 323-334.</w:t>
      </w:r>
    </w:p>
    <w:p w14:paraId="17A313AE"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lastRenderedPageBreak/>
        <w:t>Ardito, L., Ferraris, A., Petruzzelli, A. M., Bresciani, S., Del Giudice, M. (2019). The role of universities in the knowledge management of smart city projects</w:t>
      </w:r>
      <w:r w:rsidRPr="002A63BA">
        <w:rPr>
          <w:rFonts w:ascii="Open Sans" w:hAnsi="Open Sans" w:cs="Open Sans"/>
          <w:i/>
          <w:iCs/>
          <w:color w:val="222222"/>
          <w:shd w:val="clear" w:color="auto" w:fill="FFFFFF"/>
        </w:rPr>
        <w:t>. Technological Forecasting and Social Change</w:t>
      </w:r>
      <w:r w:rsidRPr="002A63BA">
        <w:rPr>
          <w:rFonts w:ascii="Open Sans" w:hAnsi="Open Sans" w:cs="Open Sans"/>
          <w:color w:val="222222"/>
          <w:shd w:val="clear" w:color="auto" w:fill="FFFFFF"/>
        </w:rPr>
        <w:t>, 142, pp. 312-321.</w:t>
      </w:r>
    </w:p>
    <w:p w14:paraId="6636C3F0"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Bašić, S., Vezilić Strmo, N., Sladoljev, M. (2019). Smart cities and buildings. </w:t>
      </w:r>
      <w:r w:rsidRPr="002A63BA">
        <w:rPr>
          <w:rFonts w:ascii="Open Sans" w:hAnsi="Open Sans" w:cs="Open Sans"/>
          <w:i/>
          <w:iCs/>
          <w:color w:val="222222"/>
          <w:shd w:val="clear" w:color="auto" w:fill="FFFFFF"/>
        </w:rPr>
        <w:t>Građevinar</w:t>
      </w:r>
      <w:r w:rsidRPr="002A63BA">
        <w:rPr>
          <w:rFonts w:ascii="Open Sans" w:hAnsi="Open Sans" w:cs="Open Sans"/>
          <w:color w:val="222222"/>
          <w:shd w:val="clear" w:color="auto" w:fill="FFFFFF"/>
        </w:rPr>
        <w:t>, 71(10.), pp. 949-964.</w:t>
      </w:r>
    </w:p>
    <w:p w14:paraId="5E07C433"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Bondarenko, N. G., Oleynik, A., Biryukov, V. A., Tarando, E. E., Malinina, T. B. (2020). Smart city: integration of information and communication technologies. </w:t>
      </w:r>
      <w:r w:rsidRPr="002A63BA">
        <w:rPr>
          <w:rFonts w:ascii="Open Sans" w:hAnsi="Open Sans" w:cs="Open Sans"/>
          <w:i/>
          <w:iCs/>
        </w:rPr>
        <w:t>IIOAB Journal</w:t>
      </w:r>
      <w:r w:rsidRPr="002A63BA">
        <w:rPr>
          <w:rFonts w:ascii="Open Sans" w:hAnsi="Open Sans" w:cs="Open Sans"/>
        </w:rPr>
        <w:t>, 11(3), pp. 106-110.</w:t>
      </w:r>
    </w:p>
    <w:p w14:paraId="6AFEB596"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Caldwell, G., Foth, M., Guaralda, M. (2013). An urban informatics approach to smart city learning in architecture and urban design education. </w:t>
      </w:r>
      <w:r w:rsidRPr="002A63BA">
        <w:rPr>
          <w:rFonts w:ascii="Open Sans" w:hAnsi="Open Sans" w:cs="Open Sans"/>
          <w:i/>
          <w:iCs/>
        </w:rPr>
        <w:t>Interaction Design and Architecture (s)</w:t>
      </w:r>
      <w:r w:rsidRPr="002A63BA">
        <w:rPr>
          <w:rFonts w:ascii="Open Sans" w:hAnsi="Open Sans" w:cs="Open Sans"/>
        </w:rPr>
        <w:t>, 2013(17), pp. 7-28.</w:t>
      </w:r>
    </w:p>
    <w:p w14:paraId="48892C42"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color w:val="222222"/>
          <w:shd w:val="clear" w:color="auto" w:fill="FFFFFF"/>
        </w:rPr>
        <w:t xml:space="preserve">CB Insights (2021). Here’s Where the Top Smart Cities Investors Are Placing Their Bets. Available at: </w:t>
      </w:r>
      <w:hyperlink r:id="rId57" w:history="1">
        <w:r w:rsidRPr="002A63BA">
          <w:rPr>
            <w:rFonts w:ascii="Open Sans" w:hAnsi="Open Sans" w:cs="Open Sans"/>
            <w:color w:val="222222"/>
            <w:shd w:val="clear" w:color="auto" w:fill="FFFFFF"/>
          </w:rPr>
          <w:t>https://www.eea.europa.eu/themes/climate/climate-change-is-one-of</w:t>
        </w:r>
      </w:hyperlink>
      <w:r w:rsidRPr="002A63BA">
        <w:rPr>
          <w:rFonts w:ascii="Open Sans" w:hAnsi="Open Sans" w:cs="Open Sans"/>
          <w:color w:val="222222"/>
          <w:shd w:val="clear" w:color="auto" w:fill="FFFFFF"/>
        </w:rPr>
        <w:t xml:space="preserve"> </w:t>
      </w:r>
      <w:r w:rsidRPr="002A63BA">
        <w:rPr>
          <w:rStyle w:val="Hiperveza"/>
          <w:rFonts w:ascii="Open Sans" w:hAnsi="Open Sans" w:cs="Open Sans"/>
          <w:shd w:val="clear" w:color="auto" w:fill="FFFFFF"/>
        </w:rPr>
        <w:t>(Accessed: December 28, 2021).</w:t>
      </w:r>
    </w:p>
    <w:p w14:paraId="5173C80D" w14:textId="77777777" w:rsidR="00AE101A" w:rsidRPr="002A63BA" w:rsidRDefault="00AE101A" w:rsidP="002B4C9A">
      <w:pPr>
        <w:pStyle w:val="Odlomakpopisa"/>
        <w:numPr>
          <w:ilvl w:val="0"/>
          <w:numId w:val="19"/>
        </w:numPr>
        <w:spacing w:after="0" w:line="276" w:lineRule="auto"/>
        <w:ind w:left="357" w:hanging="357"/>
        <w:jc w:val="left"/>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Deloitte (2022). COVID-19 - The upskilling imperative: Building a future-ready workforce for the AI age. Available at:  </w:t>
      </w:r>
      <w:hyperlink r:id="rId58" w:history="1">
        <w:r w:rsidRPr="002A63BA">
          <w:rPr>
            <w:rStyle w:val="Hiperveza"/>
            <w:rFonts w:ascii="Open Sans" w:hAnsi="Open Sans" w:cs="Open Sans"/>
            <w:shd w:val="clear" w:color="auto" w:fill="FFFFFF"/>
          </w:rPr>
          <w:t>https://www2.deloitte.com/content/dam/Deloitte/ca/Documents/deloitte-analytics/ca-covid19-upskilling-EN-AODA.pdf</w:t>
        </w:r>
      </w:hyperlink>
      <w:r w:rsidRPr="002A63BA">
        <w:rPr>
          <w:rFonts w:ascii="Open Sans" w:hAnsi="Open Sans" w:cs="Open Sans"/>
          <w:color w:val="222222"/>
          <w:shd w:val="clear" w:color="auto" w:fill="FFFFFF"/>
        </w:rPr>
        <w:t xml:space="preserve"> (Accessed: January 7, 2022).</w:t>
      </w:r>
    </w:p>
    <w:p w14:paraId="61CE8006"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Dubman, R. (2019). The digital governance of data-driven smart cities: Sustainable urban development, big data management, and the cognitive Internet of Things. </w:t>
      </w:r>
      <w:r w:rsidRPr="002A63BA">
        <w:rPr>
          <w:rFonts w:ascii="Open Sans" w:hAnsi="Open Sans" w:cs="Open Sans"/>
          <w:i/>
          <w:iCs/>
          <w:color w:val="222222"/>
          <w:shd w:val="clear" w:color="auto" w:fill="FFFFFF"/>
        </w:rPr>
        <w:t>Geopolitics, History, and International Relations</w:t>
      </w:r>
      <w:r w:rsidRPr="002A63BA">
        <w:rPr>
          <w:rFonts w:ascii="Open Sans" w:hAnsi="Open Sans" w:cs="Open Sans"/>
          <w:color w:val="222222"/>
          <w:shd w:val="clear" w:color="auto" w:fill="FFFFFF"/>
        </w:rPr>
        <w:t>, 11(2), pp. 34-40.</w:t>
      </w:r>
    </w:p>
    <w:p w14:paraId="4A125632" w14:textId="77777777" w:rsidR="00AE101A" w:rsidRPr="002A63BA" w:rsidRDefault="00AE101A" w:rsidP="002B4C9A">
      <w:pPr>
        <w:pStyle w:val="Naslov2"/>
        <w:keepNext w:val="0"/>
        <w:keepLines w:val="0"/>
        <w:numPr>
          <w:ilvl w:val="0"/>
          <w:numId w:val="19"/>
        </w:numPr>
        <w:spacing w:before="0" w:after="0" w:line="276" w:lineRule="auto"/>
        <w:ind w:left="357" w:hanging="357"/>
        <w:rPr>
          <w:rStyle w:val="Hiperveza"/>
          <w:rFonts w:ascii="Open Sans" w:hAnsi="Open Sans" w:cs="Open Sans"/>
          <w:b w:val="0"/>
          <w:bCs/>
          <w:color w:val="auto"/>
          <w:sz w:val="22"/>
          <w:szCs w:val="22"/>
        </w:rPr>
      </w:pPr>
      <w:r w:rsidRPr="002A63BA">
        <w:rPr>
          <w:rFonts w:ascii="Open Sans" w:eastAsiaTheme="minorHAnsi" w:hAnsi="Open Sans" w:cs="Open Sans"/>
          <w:b w:val="0"/>
          <w:sz w:val="22"/>
          <w:szCs w:val="22"/>
          <w:shd w:val="clear" w:color="auto" w:fill="FFFFFF"/>
        </w:rPr>
        <w:t xml:space="preserve">European Environment Agency (2021). </w:t>
      </w:r>
      <w:r w:rsidRPr="002A63BA">
        <w:rPr>
          <w:rFonts w:ascii="Open Sans" w:eastAsiaTheme="minorHAnsi" w:hAnsi="Open Sans" w:cs="Open Sans"/>
          <w:b w:val="0"/>
          <w:color w:val="222222"/>
          <w:sz w:val="22"/>
          <w:szCs w:val="22"/>
          <w:shd w:val="clear" w:color="auto" w:fill="FFFFFF"/>
        </w:rPr>
        <w:t xml:space="preserve">Climate change mitigation. Available at: </w:t>
      </w:r>
      <w:r w:rsidRPr="002A63BA">
        <w:rPr>
          <w:rFonts w:ascii="Open Sans" w:hAnsi="Open Sans" w:cs="Open Sans"/>
          <w:b w:val="0"/>
          <w:sz w:val="22"/>
          <w:szCs w:val="22"/>
        </w:rPr>
        <w:t xml:space="preserve"> </w:t>
      </w:r>
      <w:hyperlink r:id="rId59" w:history="1">
        <w:r w:rsidRPr="002A63BA">
          <w:rPr>
            <w:rStyle w:val="Hiperveza"/>
            <w:rFonts w:ascii="Open Sans" w:eastAsiaTheme="minorHAnsi" w:hAnsi="Open Sans" w:cs="Open Sans"/>
            <w:sz w:val="22"/>
            <w:szCs w:val="22"/>
          </w:rPr>
          <w:t>https://www.eea.europa.eu/themes/climate/climate-change-is-one-of</w:t>
        </w:r>
      </w:hyperlink>
      <w:r w:rsidRPr="002A63BA">
        <w:rPr>
          <w:rStyle w:val="Hiperveza"/>
          <w:rFonts w:ascii="Open Sans" w:eastAsiaTheme="minorHAnsi" w:hAnsi="Open Sans" w:cs="Open Sans"/>
          <w:sz w:val="22"/>
          <w:szCs w:val="22"/>
        </w:rPr>
        <w:t xml:space="preserve"> </w:t>
      </w:r>
      <w:r w:rsidRPr="002A63BA">
        <w:rPr>
          <w:rStyle w:val="Hiperveza"/>
          <w:rFonts w:ascii="Open Sans" w:eastAsiaTheme="minorHAnsi" w:hAnsi="Open Sans" w:cs="Open Sans"/>
          <w:b w:val="0"/>
          <w:color w:val="auto"/>
          <w:sz w:val="22"/>
          <w:szCs w:val="22"/>
        </w:rPr>
        <w:t>(Accessed: December 28, 2021).</w:t>
      </w:r>
    </w:p>
    <w:p w14:paraId="3C81AB35"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Ferraris, A., Belyaeva, Z., Bresciani, S. (2020). The role of universities in the Smart City innovation: Multistakeholder integration and engagement perspectives. </w:t>
      </w:r>
      <w:r w:rsidRPr="002A63BA">
        <w:rPr>
          <w:rFonts w:ascii="Open Sans" w:hAnsi="Open Sans" w:cs="Open Sans"/>
          <w:i/>
          <w:iCs/>
        </w:rPr>
        <w:t>Journal of Business Research</w:t>
      </w:r>
      <w:r w:rsidRPr="002A63BA">
        <w:rPr>
          <w:rFonts w:ascii="Open Sans" w:hAnsi="Open Sans" w:cs="Open Sans"/>
        </w:rPr>
        <w:t>, 119, pp. 163-171.</w:t>
      </w:r>
    </w:p>
    <w:p w14:paraId="5591F16F"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lastRenderedPageBreak/>
        <w:t xml:space="preserve">Garbin Praničević, D., Peterlin, J. &amp; Bućan, M. J. (2017). Do older people benefit from digital services?. In: </w:t>
      </w:r>
      <w:r w:rsidRPr="002A63BA">
        <w:rPr>
          <w:rFonts w:ascii="Open Sans" w:hAnsi="Open Sans" w:cs="Open Sans"/>
          <w:i/>
          <w:iCs/>
        </w:rPr>
        <w:t>DIEM: Dubrovnik International Economic Meeting</w:t>
      </w:r>
      <w:r w:rsidRPr="002A63BA">
        <w:rPr>
          <w:rFonts w:ascii="Open Sans" w:hAnsi="Open Sans" w:cs="Open Sans"/>
        </w:rPr>
        <w:t xml:space="preserve">, 3(1), pp. 145-160. </w:t>
      </w:r>
    </w:p>
    <w:p w14:paraId="5AE81FB7"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color w:val="222222"/>
          <w:shd w:val="clear" w:color="auto" w:fill="FFFFFF"/>
        </w:rPr>
        <w:t>Gassmann, O., Böhm, J., Palmié, M. (2019). </w:t>
      </w:r>
      <w:r w:rsidRPr="002A63BA">
        <w:rPr>
          <w:rFonts w:ascii="Open Sans" w:hAnsi="Open Sans" w:cs="Open Sans"/>
          <w:i/>
          <w:iCs/>
          <w:color w:val="222222"/>
          <w:shd w:val="clear" w:color="auto" w:fill="FFFFFF"/>
        </w:rPr>
        <w:t>Smart cities: introducing digital innovation to cities</w:t>
      </w:r>
      <w:r w:rsidRPr="002A63BA">
        <w:rPr>
          <w:rFonts w:ascii="Open Sans" w:hAnsi="Open Sans" w:cs="Open Sans"/>
          <w:color w:val="222222"/>
          <w:shd w:val="clear" w:color="auto" w:fill="FFFFFF"/>
        </w:rPr>
        <w:t>. Emerald Group Publishing.</w:t>
      </w:r>
    </w:p>
    <w:p w14:paraId="16159B01"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Giourka, P., Sanders, M. W., Angelakoglou, K., Pramangioulis, D., Nikolopoulos, N., Rakopoulos, D., Tryferidis, A., Tzovaras, D. (2019). The smart city business model canvas—A smart city business modeling framework and practical tool. </w:t>
      </w:r>
      <w:r w:rsidRPr="002A63BA">
        <w:rPr>
          <w:rFonts w:ascii="Open Sans" w:hAnsi="Open Sans" w:cs="Open Sans"/>
          <w:i/>
          <w:iCs/>
          <w:color w:val="222222"/>
          <w:shd w:val="clear" w:color="auto" w:fill="FFFFFF"/>
        </w:rPr>
        <w:t>Energies</w:t>
      </w:r>
      <w:r w:rsidRPr="002A63BA">
        <w:rPr>
          <w:rFonts w:ascii="Open Sans" w:hAnsi="Open Sans" w:cs="Open Sans"/>
          <w:color w:val="222222"/>
          <w:shd w:val="clear" w:color="auto" w:fill="FFFFFF"/>
        </w:rPr>
        <w:t>, 12(24), p. 4798.</w:t>
      </w:r>
    </w:p>
    <w:p w14:paraId="55E841F0"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Guevara, L., Auat Cheein, F. (2020). The role of 5G technologies: Challenges in smart cities and intelligent transportation systems. </w:t>
      </w:r>
      <w:r w:rsidRPr="002A63BA">
        <w:rPr>
          <w:rFonts w:ascii="Open Sans" w:hAnsi="Open Sans" w:cs="Open Sans"/>
          <w:i/>
          <w:iCs/>
          <w:color w:val="222222"/>
          <w:shd w:val="clear" w:color="auto" w:fill="FFFFFF"/>
        </w:rPr>
        <w:t>Sustainability</w:t>
      </w:r>
      <w:r w:rsidRPr="002A63BA">
        <w:rPr>
          <w:rFonts w:ascii="Open Sans" w:hAnsi="Open Sans" w:cs="Open Sans"/>
          <w:color w:val="222222"/>
          <w:shd w:val="clear" w:color="auto" w:fill="FFFFFF"/>
        </w:rPr>
        <w:t>, 12(16), p. 6469.</w:t>
      </w:r>
    </w:p>
    <w:p w14:paraId="4A368674"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color w:val="222222"/>
          <w:shd w:val="clear" w:color="auto" w:fill="FFFFFF"/>
        </w:rPr>
        <w:t>Habibzadeh, H., Kaptan, C., Soyata, T., Kantarci, B., Boukerche, A. (2019). Smart city system design: A comprehensive study of the application and data planes. </w:t>
      </w:r>
      <w:r w:rsidRPr="002A63BA">
        <w:rPr>
          <w:rFonts w:ascii="Open Sans" w:hAnsi="Open Sans" w:cs="Open Sans"/>
          <w:i/>
          <w:iCs/>
          <w:color w:val="222222"/>
          <w:shd w:val="clear" w:color="auto" w:fill="FFFFFF"/>
        </w:rPr>
        <w:t>ACM Computing Surveys (CSUR)</w:t>
      </w:r>
      <w:r w:rsidRPr="002A63BA">
        <w:rPr>
          <w:rFonts w:ascii="Open Sans" w:hAnsi="Open Sans" w:cs="Open Sans"/>
          <w:color w:val="222222"/>
          <w:shd w:val="clear" w:color="auto" w:fill="FFFFFF"/>
        </w:rPr>
        <w:t>, 52(2), pp. 1-38.</w:t>
      </w:r>
    </w:p>
    <w:p w14:paraId="28D0EA0E"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Heitlinger, S., Bryan-Kinns, N., Comber, R. (2019). The right to the sustainable smart city. In: </w:t>
      </w:r>
      <w:r w:rsidRPr="002A63BA">
        <w:rPr>
          <w:rFonts w:ascii="Open Sans" w:hAnsi="Open Sans" w:cs="Open Sans"/>
          <w:i/>
          <w:iCs/>
          <w:color w:val="222222"/>
          <w:shd w:val="clear" w:color="auto" w:fill="FFFFFF"/>
        </w:rPr>
        <w:t>Proceedings of the 2019 CHI Conference on Human Factors in Computing Systems</w:t>
      </w:r>
      <w:r w:rsidRPr="002A63BA">
        <w:rPr>
          <w:rFonts w:ascii="Open Sans" w:hAnsi="Open Sans" w:cs="Open Sans"/>
          <w:color w:val="222222"/>
          <w:shd w:val="clear" w:color="auto" w:fill="FFFFFF"/>
        </w:rPr>
        <w:t>, pp. 1-13.</w:t>
      </w:r>
    </w:p>
    <w:p w14:paraId="71AFF3B9"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Hickman, T., Pierson, A., Comstock, E. (2021). How changing attitudes toward data sharing could accelerate smart city adoption. Available at: </w:t>
      </w:r>
      <w:hyperlink r:id="rId60" w:history="1">
        <w:r w:rsidRPr="002A63BA">
          <w:rPr>
            <w:rStyle w:val="Hiperveza"/>
            <w:rFonts w:ascii="Open Sans" w:hAnsi="Open Sans" w:cs="Open Sans"/>
          </w:rPr>
          <w:t>https://www.whitecase.com/publications/insight/how-changing-attitudes-toward-data-sharing-could-accelerate-smart-city</w:t>
        </w:r>
      </w:hyperlink>
      <w:r w:rsidRPr="002A63BA">
        <w:rPr>
          <w:rFonts w:ascii="Open Sans" w:hAnsi="Open Sans" w:cs="Open Sans"/>
        </w:rPr>
        <w:t xml:space="preserve"> (Accessed: September 17, 2021).</w:t>
      </w:r>
    </w:p>
    <w:p w14:paraId="0625FBD8"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Ijaz, S., Shah, M. A., Khan, A., Mansoor Ahmed, M. (2016). Smart Cities: A Survey on Security Concerns. </w:t>
      </w:r>
      <w:r w:rsidRPr="002A63BA">
        <w:rPr>
          <w:rFonts w:ascii="Open Sans" w:hAnsi="Open Sans" w:cs="Open Sans"/>
          <w:i/>
          <w:iCs/>
        </w:rPr>
        <w:t>International Journal of Advanced Computer Science and Applications</w:t>
      </w:r>
      <w:r w:rsidRPr="002A63BA">
        <w:rPr>
          <w:rFonts w:ascii="Open Sans" w:hAnsi="Open Sans" w:cs="Open Sans"/>
        </w:rPr>
        <w:t>, 7, pp. 612-625.</w:t>
      </w:r>
    </w:p>
    <w:p w14:paraId="7A3B35DA"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color w:val="222222"/>
          <w:shd w:val="clear" w:color="auto" w:fill="FFFFFF"/>
        </w:rPr>
        <w:t>Kirimtat, A., Krejcar, O., Kertesz, A., Tasgetiren, M. F. (2020). Future trends and current state of smart city concepts: A survey. </w:t>
      </w:r>
      <w:r w:rsidRPr="002A63BA">
        <w:rPr>
          <w:rFonts w:ascii="Open Sans" w:hAnsi="Open Sans" w:cs="Open Sans"/>
          <w:i/>
          <w:iCs/>
          <w:color w:val="222222"/>
          <w:shd w:val="clear" w:color="auto" w:fill="FFFFFF"/>
        </w:rPr>
        <w:t>IEEE Access</w:t>
      </w:r>
      <w:r w:rsidRPr="002A63BA">
        <w:rPr>
          <w:rFonts w:ascii="Open Sans" w:hAnsi="Open Sans" w:cs="Open Sans"/>
          <w:color w:val="222222"/>
          <w:shd w:val="clear" w:color="auto" w:fill="FFFFFF"/>
        </w:rPr>
        <w:t>, 8, pp. 86448-86467.</w:t>
      </w:r>
    </w:p>
    <w:p w14:paraId="4C8DE8BA"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shd w:val="clear" w:color="auto" w:fill="FFFFFF"/>
        </w:rPr>
        <w:t>Kitchen, R., Cardullo, P., &amp; Di Feliciantonio, C. (2019). Citizenship, justice, and the right to the smart city. In </w:t>
      </w:r>
      <w:r w:rsidRPr="002A63BA">
        <w:rPr>
          <w:rFonts w:ascii="Open Sans" w:hAnsi="Open Sans" w:cs="Open Sans"/>
          <w:i/>
          <w:iCs/>
          <w:shd w:val="clear" w:color="auto" w:fill="FFFFFF"/>
        </w:rPr>
        <w:t>The right to the smart city</w:t>
      </w:r>
      <w:r w:rsidRPr="002A63BA">
        <w:rPr>
          <w:rFonts w:ascii="Open Sans" w:hAnsi="Open Sans" w:cs="Open Sans"/>
          <w:shd w:val="clear" w:color="auto" w:fill="FFFFFF"/>
        </w:rPr>
        <w:t>. Emerald Publishing Limited.</w:t>
      </w:r>
    </w:p>
    <w:p w14:paraId="7B25FD36"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lastRenderedPageBreak/>
        <w:t>Kummitha, R. K. R., Crutzen, N. (2017). How do we understand smart cities? An evolutionary perspective. </w:t>
      </w:r>
      <w:r w:rsidRPr="002A63BA">
        <w:rPr>
          <w:rFonts w:ascii="Open Sans" w:hAnsi="Open Sans" w:cs="Open Sans"/>
          <w:i/>
          <w:iCs/>
          <w:color w:val="222222"/>
          <w:shd w:val="clear" w:color="auto" w:fill="FFFFFF"/>
        </w:rPr>
        <w:t>Cities</w:t>
      </w:r>
      <w:r w:rsidRPr="002A63BA">
        <w:rPr>
          <w:rFonts w:ascii="Open Sans" w:hAnsi="Open Sans" w:cs="Open Sans"/>
          <w:color w:val="222222"/>
          <w:shd w:val="clear" w:color="auto" w:fill="FFFFFF"/>
        </w:rPr>
        <w:t>, 67, pp. 43-52.</w:t>
      </w:r>
    </w:p>
    <w:p w14:paraId="7B6FF20E"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Lawhead, D. (2017). Which US cities can benefit most from smart city transformation?. Available at: </w:t>
      </w:r>
      <w:hyperlink r:id="rId61" w:history="1">
        <w:r w:rsidRPr="002A63BA">
          <w:rPr>
            <w:rStyle w:val="Hiperveza"/>
            <w:rFonts w:ascii="Open Sans" w:hAnsi="Open Sans" w:cs="Open Sans"/>
          </w:rPr>
          <w:t>https://enterpriseiotinsights.com/20171005/smart-cities/us-cities-benefit-smart-city-transformation-tag17</w:t>
        </w:r>
      </w:hyperlink>
      <w:r w:rsidRPr="002A63BA">
        <w:rPr>
          <w:rFonts w:ascii="Open Sans" w:hAnsi="Open Sans" w:cs="Open Sans"/>
        </w:rPr>
        <w:t xml:space="preserve"> (Accessed: September 17, 2021).</w:t>
      </w:r>
    </w:p>
    <w:p w14:paraId="10A60397"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Medina, C. A., Pérez, M. R., Trujillo, L. C. (2017). IoT paradigm into the smart city vision: a survey. In: </w:t>
      </w:r>
      <w:r w:rsidRPr="002A63BA">
        <w:rPr>
          <w:rFonts w:ascii="Open Sans" w:hAnsi="Open Sans" w:cs="Open Sans"/>
          <w:i/>
          <w:iCs/>
        </w:rPr>
        <w:t>2017 IEEE International Conference on Internet of Things (iThings) and IEEE Green Computing and Communications (GreenCom) and IEEE Cyber, Physical and Social Computing (CPSCom) and IEEE Smart Data (SmartData)</w:t>
      </w:r>
      <w:r w:rsidRPr="002A63BA">
        <w:rPr>
          <w:rFonts w:ascii="Open Sans" w:hAnsi="Open Sans" w:cs="Open Sans"/>
        </w:rPr>
        <w:t>, IEEE, pp. 695-704.</w:t>
      </w:r>
    </w:p>
    <w:p w14:paraId="4BE47F1D"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Nosratabadi, S., Mosavi, A., Keivani, R., Ardabili, S., Aram, F. (2019). State of the art survey of deep learning and machine learning models for smart cities and urban sustainability. In: </w:t>
      </w:r>
      <w:r w:rsidRPr="002A63BA">
        <w:rPr>
          <w:rFonts w:ascii="Open Sans" w:hAnsi="Open Sans" w:cs="Open Sans"/>
          <w:i/>
          <w:iCs/>
          <w:color w:val="222222"/>
          <w:shd w:val="clear" w:color="auto" w:fill="FFFFFF"/>
        </w:rPr>
        <w:t>International Conference on Global Research and Education,</w:t>
      </w:r>
      <w:r w:rsidRPr="002A63BA">
        <w:rPr>
          <w:rFonts w:ascii="Open Sans" w:hAnsi="Open Sans" w:cs="Open Sans"/>
          <w:color w:val="222222"/>
          <w:shd w:val="clear" w:color="auto" w:fill="FFFFFF"/>
        </w:rPr>
        <w:t xml:space="preserve"> Springer, Cham, pp. 228-238.</w:t>
      </w:r>
    </w:p>
    <w:p w14:paraId="17ED4B69"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Peterlin, J., Valentinčič, D. (2021). Analiza trajnostnega vodenja skupnosti avstralskih Slovencev: Primer S.A.S. &amp; S. Club “Jadran” (Sustainable leadership analysis of Australian Slovenians: case of S.A.S. &amp; S. Club “Jadran”. In: Redek, T. (eds). </w:t>
      </w:r>
      <w:r w:rsidRPr="002A63BA">
        <w:rPr>
          <w:rFonts w:ascii="Open Sans" w:hAnsi="Open Sans" w:cs="Open Sans"/>
          <w:i/>
          <w:iCs/>
          <w:color w:val="222222"/>
          <w:shd w:val="clear" w:color="auto" w:fill="FFFFFF"/>
        </w:rPr>
        <w:t>Izzivi podjetij, države in družbe v uresničevanju odgovornosti za trajnostni razvoj</w:t>
      </w:r>
      <w:r w:rsidRPr="002A63BA">
        <w:rPr>
          <w:rFonts w:ascii="Open Sans" w:hAnsi="Open Sans" w:cs="Open Sans"/>
          <w:color w:val="222222"/>
          <w:shd w:val="clear" w:color="auto" w:fill="FFFFFF"/>
        </w:rPr>
        <w:t>, Ljubljana: Ekonomska fakulteta Univerze v Ljubljani, pp. 235-253.</w:t>
      </w:r>
    </w:p>
    <w:p w14:paraId="0572C6C0"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Pradeep (2017). Microsoft is the most trusted smart-city vendor according to a survey by IDC. Available at: </w:t>
      </w:r>
      <w:hyperlink r:id="rId62" w:history="1">
        <w:r w:rsidRPr="002A63BA">
          <w:rPr>
            <w:rStyle w:val="Hiperveza"/>
            <w:rFonts w:ascii="Open Sans" w:hAnsi="Open Sans" w:cs="Open Sans"/>
          </w:rPr>
          <w:t>https://mspoweruser.com/microsoft-trusted-smart-city-vendor-according-survey-idc/</w:t>
        </w:r>
      </w:hyperlink>
      <w:r w:rsidRPr="002A63BA">
        <w:rPr>
          <w:rFonts w:ascii="Open Sans" w:hAnsi="Open Sans" w:cs="Open Sans"/>
        </w:rPr>
        <w:t xml:space="preserve"> (Accessed: September 17, 2021).</w:t>
      </w:r>
    </w:p>
    <w:p w14:paraId="1F3F71CB"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Roblek, V. (2019). The smart city of Vienna. In: Anthopoulos, L. (eds). </w:t>
      </w:r>
      <w:r w:rsidRPr="002A63BA">
        <w:rPr>
          <w:rFonts w:ascii="Open Sans" w:hAnsi="Open Sans" w:cs="Open Sans"/>
          <w:i/>
          <w:iCs/>
          <w:color w:val="222222"/>
          <w:shd w:val="clear" w:color="auto" w:fill="FFFFFF"/>
        </w:rPr>
        <w:t>Smart City Emergence</w:t>
      </w:r>
      <w:r w:rsidRPr="002A63BA">
        <w:rPr>
          <w:rFonts w:ascii="Open Sans" w:hAnsi="Open Sans" w:cs="Open Sans"/>
          <w:color w:val="222222"/>
          <w:shd w:val="clear" w:color="auto" w:fill="FFFFFF"/>
        </w:rPr>
        <w:t>. Oxford: Elservier, pp. 105-129.</w:t>
      </w:r>
    </w:p>
    <w:p w14:paraId="5FFD3B81"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color w:val="222222"/>
          <w:shd w:val="clear" w:color="auto" w:fill="FFFFFF"/>
        </w:rPr>
        <w:t>Slišković, T., Vrhovec, I. (2020). Realizacija projekata baziranih na konceptu „pametnih “gradova u Hrvatskoj s osvrtom na grad Jastrebarsko. </w:t>
      </w:r>
      <w:r w:rsidRPr="002A63BA">
        <w:rPr>
          <w:rFonts w:ascii="Open Sans" w:hAnsi="Open Sans" w:cs="Open Sans"/>
          <w:i/>
          <w:iCs/>
          <w:color w:val="222222"/>
          <w:shd w:val="clear" w:color="auto" w:fill="FFFFFF"/>
        </w:rPr>
        <w:t>Notitia-časopis za ekonomske, poslovne i društvene teme</w:t>
      </w:r>
      <w:r w:rsidRPr="002A63BA">
        <w:rPr>
          <w:rFonts w:ascii="Open Sans" w:hAnsi="Open Sans" w:cs="Open Sans"/>
          <w:color w:val="222222"/>
          <w:shd w:val="clear" w:color="auto" w:fill="FFFFFF"/>
        </w:rPr>
        <w:t>, 6(1), pp. 63-80.</w:t>
      </w:r>
    </w:p>
    <w:p w14:paraId="10E0BE00"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lastRenderedPageBreak/>
        <w:t xml:space="preserve">Smart cities – UK city officials survey (CBRE Research, 2018; ESI ThoughtLab 2018). CBRE, United Kingdom. Available at: </w:t>
      </w:r>
      <w:hyperlink r:id="rId63" w:history="1">
        <w:r w:rsidRPr="002A63BA">
          <w:rPr>
            <w:rStyle w:val="Hiperveza"/>
            <w:rFonts w:ascii="Open Sans" w:hAnsi="Open Sans" w:cs="Open Sans"/>
          </w:rPr>
          <w:t>https://www.cbre.co.uk/research-and-reports/our-cities/smart-cities-uk-city-officials-survey</w:t>
        </w:r>
      </w:hyperlink>
      <w:r w:rsidRPr="002A63BA">
        <w:rPr>
          <w:rFonts w:ascii="Open Sans" w:hAnsi="Open Sans" w:cs="Open Sans"/>
        </w:rPr>
        <w:t xml:space="preserve"> (Accessed: September 17, 2021).</w:t>
      </w:r>
    </w:p>
    <w:p w14:paraId="18E5BC53"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Smart City Use Cases &amp; Technology Adoption Report 2020 (2021). Available at: </w:t>
      </w:r>
      <w:hyperlink r:id="rId64" w:history="1">
        <w:r w:rsidRPr="002A63BA">
          <w:rPr>
            <w:rStyle w:val="Hiperveza"/>
            <w:rFonts w:ascii="Open Sans" w:hAnsi="Open Sans" w:cs="Open Sans"/>
          </w:rPr>
          <w:t>https://iot-analytics.com/top-10-smart-city-use-cases-prioritized-now/</w:t>
        </w:r>
      </w:hyperlink>
      <w:r w:rsidRPr="002A63BA">
        <w:rPr>
          <w:rFonts w:ascii="Open Sans" w:hAnsi="Open Sans" w:cs="Open Sans"/>
        </w:rPr>
        <w:t xml:space="preserve"> (Accessed: September 17, 2021).</w:t>
      </w:r>
    </w:p>
    <w:p w14:paraId="40768A14"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rPr>
      </w:pPr>
      <w:r w:rsidRPr="002A63BA">
        <w:rPr>
          <w:rFonts w:ascii="Open Sans" w:hAnsi="Open Sans" w:cs="Open Sans"/>
        </w:rPr>
        <w:t xml:space="preserve">Team TTR (2018). Smart City Survey Results: Governments Need to Be Smarter About Keeping Cities Safe. Available at: </w:t>
      </w:r>
      <w:hyperlink r:id="rId65" w:history="1">
        <w:r w:rsidRPr="002A63BA">
          <w:rPr>
            <w:rStyle w:val="Hiperveza"/>
            <w:rFonts w:ascii="Open Sans" w:hAnsi="Open Sans" w:cs="Open Sans"/>
          </w:rPr>
          <w:t>https://thetechrevolutionist.com/2018/02/smart-city-survey-results-governments.html</w:t>
        </w:r>
      </w:hyperlink>
      <w:r w:rsidRPr="002A63BA">
        <w:rPr>
          <w:rFonts w:ascii="Open Sans" w:hAnsi="Open Sans" w:cs="Open Sans"/>
        </w:rPr>
        <w:t xml:space="preserve"> (Accessed: September 17, 2021).</w:t>
      </w:r>
    </w:p>
    <w:p w14:paraId="1E9BF783"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Trencher, G. (2019). Towards the smart city 2.0: Empirical evidence of using smartness as a tool for tackling social challenges. </w:t>
      </w:r>
      <w:r w:rsidRPr="002A63BA">
        <w:rPr>
          <w:rFonts w:ascii="Open Sans" w:hAnsi="Open Sans" w:cs="Open Sans"/>
          <w:i/>
          <w:iCs/>
          <w:color w:val="222222"/>
          <w:shd w:val="clear" w:color="auto" w:fill="FFFFFF"/>
        </w:rPr>
        <w:t>Technological Forecasting and Social Change</w:t>
      </w:r>
      <w:r w:rsidRPr="002A63BA">
        <w:rPr>
          <w:rFonts w:ascii="Open Sans" w:hAnsi="Open Sans" w:cs="Open Sans"/>
          <w:color w:val="222222"/>
          <w:shd w:val="clear" w:color="auto" w:fill="FFFFFF"/>
        </w:rPr>
        <w:t>, 142, pp. 117-128.</w:t>
      </w:r>
    </w:p>
    <w:p w14:paraId="607312B0"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Voda, A. I., Radu, L. D. (2018). Artificial intelligence and the future of smart cities. BRAIN. </w:t>
      </w:r>
      <w:r w:rsidRPr="002A63BA">
        <w:rPr>
          <w:rFonts w:ascii="Open Sans" w:hAnsi="Open Sans" w:cs="Open Sans"/>
          <w:i/>
          <w:iCs/>
          <w:color w:val="222222"/>
          <w:shd w:val="clear" w:color="auto" w:fill="FFFFFF"/>
        </w:rPr>
        <w:t>Broad Research in Artificial Intelligence and Neuroscience</w:t>
      </w:r>
      <w:r w:rsidRPr="002A63BA">
        <w:rPr>
          <w:rFonts w:ascii="Open Sans" w:hAnsi="Open Sans" w:cs="Open Sans"/>
          <w:color w:val="222222"/>
          <w:shd w:val="clear" w:color="auto" w:fill="FFFFFF"/>
        </w:rPr>
        <w:t>, 9(2), pp. 110-127.</w:t>
      </w:r>
    </w:p>
    <w:p w14:paraId="39A0C952"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 xml:space="preserve">Weber, M., Podnar Žarko, I. (2019). A regulatory view on smart city services. </w:t>
      </w:r>
      <w:r w:rsidRPr="002A63BA">
        <w:rPr>
          <w:rFonts w:ascii="Open Sans" w:hAnsi="Open Sans" w:cs="Open Sans"/>
          <w:i/>
          <w:iCs/>
          <w:color w:val="222222"/>
          <w:shd w:val="clear" w:color="auto" w:fill="FFFFFF"/>
        </w:rPr>
        <w:t>Sensors</w:t>
      </w:r>
      <w:r w:rsidRPr="002A63BA">
        <w:rPr>
          <w:rFonts w:ascii="Open Sans" w:hAnsi="Open Sans" w:cs="Open Sans"/>
          <w:color w:val="222222"/>
          <w:shd w:val="clear" w:color="auto" w:fill="FFFFFF"/>
        </w:rPr>
        <w:t>, 19(2), p. 415.</w:t>
      </w:r>
    </w:p>
    <w:p w14:paraId="68583164"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shd w:val="clear" w:color="auto" w:fill="FFFFFF"/>
        </w:rPr>
        <w:t xml:space="preserve">World Economic Forum (2020). </w:t>
      </w:r>
      <w:r w:rsidRPr="002A63BA">
        <w:rPr>
          <w:rFonts w:ascii="Open Sans" w:hAnsi="Open Sans" w:cs="Open Sans"/>
          <w:color w:val="222222"/>
          <w:shd w:val="clear" w:color="auto" w:fill="FFFFFF"/>
        </w:rPr>
        <w:t xml:space="preserve">Smart at Scale: Cities to Watch, 25 Case Studies. Available at: </w:t>
      </w:r>
      <w:hyperlink r:id="rId66" w:history="1">
        <w:r w:rsidRPr="002A63BA">
          <w:rPr>
            <w:rStyle w:val="Hiperveza"/>
            <w:rFonts w:ascii="Open Sans" w:hAnsi="Open Sans" w:cs="Open Sans"/>
          </w:rPr>
          <w:t>http://www3.weforum.org/docs/WEF_Smart_at_Scale_Cities_to_Watch_25_Case_Studies_2020.pdf</w:t>
        </w:r>
      </w:hyperlink>
      <w:r w:rsidRPr="002A63BA">
        <w:rPr>
          <w:rStyle w:val="Hiperveza"/>
          <w:rFonts w:ascii="Open Sans" w:hAnsi="Open Sans" w:cs="Open Sans"/>
          <w:color w:val="222222"/>
          <w:shd w:val="clear" w:color="auto" w:fill="FFFFFF"/>
        </w:rPr>
        <w:t xml:space="preserve"> </w:t>
      </w:r>
      <w:r w:rsidRPr="002A63BA">
        <w:rPr>
          <w:rFonts w:ascii="Open Sans" w:hAnsi="Open Sans" w:cs="Open Sans"/>
          <w:color w:val="222222"/>
          <w:shd w:val="clear" w:color="auto" w:fill="FFFFFF"/>
        </w:rPr>
        <w:t>(Accessed: November, 2021).</w:t>
      </w:r>
    </w:p>
    <w:p w14:paraId="1A6BCB08" w14:textId="77777777" w:rsidR="00AE101A" w:rsidRPr="002A63BA" w:rsidRDefault="00AE101A" w:rsidP="002B4C9A">
      <w:pPr>
        <w:pStyle w:val="Odlomakpopisa"/>
        <w:numPr>
          <w:ilvl w:val="0"/>
          <w:numId w:val="19"/>
        </w:numPr>
        <w:spacing w:after="0" w:line="276" w:lineRule="auto"/>
        <w:ind w:left="357" w:hanging="357"/>
        <w:rPr>
          <w:rFonts w:ascii="Open Sans" w:hAnsi="Open Sans" w:cs="Open Sans"/>
          <w:color w:val="222222"/>
          <w:shd w:val="clear" w:color="auto" w:fill="FFFFFF"/>
        </w:rPr>
      </w:pPr>
      <w:r w:rsidRPr="002A63BA">
        <w:rPr>
          <w:rFonts w:ascii="Open Sans" w:hAnsi="Open Sans" w:cs="Open Sans"/>
          <w:color w:val="222222"/>
          <w:shd w:val="clear" w:color="auto" w:fill="FFFFFF"/>
        </w:rPr>
        <w:t>Zhang, C. (2020). Design and application of fog computing and Internet of Things service platform for smart city. </w:t>
      </w:r>
      <w:r w:rsidRPr="002A63BA">
        <w:rPr>
          <w:rFonts w:ascii="Open Sans" w:hAnsi="Open Sans" w:cs="Open Sans"/>
          <w:i/>
          <w:iCs/>
          <w:color w:val="222222"/>
          <w:shd w:val="clear" w:color="auto" w:fill="FFFFFF"/>
        </w:rPr>
        <w:t>Future Generation Computer Systems</w:t>
      </w:r>
      <w:r w:rsidRPr="002A63BA">
        <w:rPr>
          <w:rFonts w:ascii="Open Sans" w:hAnsi="Open Sans" w:cs="Open Sans"/>
          <w:color w:val="222222"/>
          <w:shd w:val="clear" w:color="auto" w:fill="FFFFFF"/>
        </w:rPr>
        <w:t>, 112, pp. 630-640.</w:t>
      </w:r>
    </w:p>
    <w:p w14:paraId="35DACF88" w14:textId="7570EDD5" w:rsidR="00AE101A" w:rsidRPr="002A63BA" w:rsidRDefault="00AE101A" w:rsidP="00FF3EE4">
      <w:pPr>
        <w:spacing w:line="276" w:lineRule="auto"/>
        <w:ind w:left="360"/>
        <w:rPr>
          <w:rFonts w:ascii="Open Sans" w:hAnsi="Open Sans" w:cs="Open Sans"/>
        </w:rPr>
      </w:pPr>
    </w:p>
    <w:p w14:paraId="0860E950" w14:textId="77777777" w:rsidR="00AE101A" w:rsidRPr="002A63BA" w:rsidRDefault="00AE101A" w:rsidP="00FF3EE4">
      <w:pPr>
        <w:spacing w:line="276" w:lineRule="auto"/>
        <w:jc w:val="left"/>
        <w:rPr>
          <w:rFonts w:ascii="Open Sans" w:hAnsi="Open Sans" w:cs="Open Sans"/>
        </w:rPr>
      </w:pPr>
      <w:r w:rsidRPr="002A63BA">
        <w:rPr>
          <w:rFonts w:ascii="Open Sans" w:hAnsi="Open Sans" w:cs="Open Sans"/>
        </w:rPr>
        <w:br w:type="page"/>
      </w:r>
    </w:p>
    <w:p w14:paraId="4E9FB60D" w14:textId="77777777" w:rsidR="00923F00" w:rsidRPr="002A63BA" w:rsidRDefault="00923F00" w:rsidP="00923F00">
      <w:pPr>
        <w:spacing w:line="276" w:lineRule="auto"/>
        <w:ind w:left="360"/>
        <w:rPr>
          <w:rFonts w:ascii="Open Sans" w:hAnsi="Open Sans" w:cs="Open Sans"/>
        </w:rPr>
      </w:pPr>
    </w:p>
    <w:p w14:paraId="6017F19A" w14:textId="77777777" w:rsidR="00923F00" w:rsidRPr="002A63BA" w:rsidRDefault="00923F00" w:rsidP="00923F00">
      <w:pPr>
        <w:spacing w:line="276" w:lineRule="auto"/>
        <w:jc w:val="left"/>
        <w:rPr>
          <w:rFonts w:ascii="Open Sans" w:hAnsi="Open Sans" w:cs="Open Sans"/>
        </w:rPr>
      </w:pPr>
      <w:r w:rsidRPr="002A63BA">
        <w:rPr>
          <w:rFonts w:ascii="Open Sans" w:hAnsi="Open Sans" w:cs="Open Sans"/>
        </w:rPr>
        <w:br w:type="page"/>
      </w:r>
    </w:p>
    <w:p w14:paraId="2DD509D0" w14:textId="09B23367" w:rsidR="00AE101A" w:rsidRPr="00FF3EE4" w:rsidRDefault="00AE101A" w:rsidP="00FF3EE4">
      <w:pPr>
        <w:pStyle w:val="Naslov"/>
        <w:spacing w:line="276" w:lineRule="auto"/>
        <w:ind w:right="95"/>
        <w:rPr>
          <w:rFonts w:ascii="Open Sans" w:hAnsi="Open Sans" w:cs="Open Sans"/>
          <w:color w:val="auto"/>
          <w:sz w:val="24"/>
          <w:szCs w:val="24"/>
        </w:rPr>
      </w:pPr>
      <w:r w:rsidRPr="002A63BA">
        <w:rPr>
          <w:rFonts w:ascii="Open Sans" w:hAnsi="Open Sans" w:cs="Open Sans"/>
          <w:color w:val="auto"/>
          <w:sz w:val="24"/>
          <w:szCs w:val="24"/>
        </w:rPr>
        <w:lastRenderedPageBreak/>
        <w:t>CRITERIA EVALUATION FOR SELECTING IOT PLATFORMS IN SMART CITIES: EVIDENCE FROM CROATIA AND SLOVENIA</w:t>
      </w:r>
    </w:p>
    <w:p w14:paraId="52303899" w14:textId="549A6EF7" w:rsidR="00AE101A" w:rsidRPr="002A63BA" w:rsidRDefault="00AE101A" w:rsidP="00FF3EE4">
      <w:pPr>
        <w:pStyle w:val="N1"/>
      </w:pPr>
      <w:r w:rsidRPr="002A63BA">
        <w:t xml:space="preserve">INTRODUCTION </w:t>
      </w:r>
    </w:p>
    <w:p w14:paraId="1EF821AC"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Smart City (SC) concept has recently received a lot of attention. The number of papers has expanded dramatically in the last seven years, according to a Scopus database search conducted in February 2022. This indicates that more research and practical application of the above-mentioned notion are required. A smart city, according to the European Commission, is </w:t>
      </w:r>
      <w:r w:rsidRPr="002A63BA">
        <w:rPr>
          <w:rFonts w:ascii="Open Sans" w:hAnsi="Open Sans" w:cs="Open Sans"/>
          <w:i/>
          <w:szCs w:val="22"/>
          <w:lang w:val="en-GB"/>
        </w:rPr>
        <w:t>a place where traditional networks and services are made more efficient via the use of digital and communications technology for the benefit of its residents and businesses</w:t>
      </w:r>
      <w:r w:rsidRPr="002A63BA">
        <w:rPr>
          <w:rFonts w:ascii="Open Sans" w:hAnsi="Open Sans" w:cs="Open Sans"/>
          <w:szCs w:val="22"/>
          <w:lang w:val="en-GB"/>
        </w:rPr>
        <w:t xml:space="preserve">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URL":"https://ec.europa.eu/info/eu-regional-and-urban-development/topics/cities-and-urban-development/city-initiatives/smart-cities_en","author":[{"dropping-particle":"","family":"EK","given":"","non-dropping-particle":"","parse-names":false,"suffix":""}],"container-title":"European Commission","id":"ITEM-1","issued":{"date-parts":[["2020"]]},"title":"What are smart cities?","type":"webpage"},"uris":["http://www.mendeley.com/documents/?uuid=7079bfe4-13cf-4c67-933b-ff6d1611d45a"]}],"mendeley":{"formattedCitation":"(EK, 2020)","plainTextFormattedCitation":"(EK, 2020)","previouslyFormattedCitation":"(EK, 2020)"},"properties":{"noteIndex":0},"schema":"https://github.com/citation-style-language/schema/raw/master/csl-citation.json"}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(EK, 2020)</w:t>
      </w:r>
      <w:r w:rsidRPr="002A63BA">
        <w:rPr>
          <w:rFonts w:ascii="Open Sans" w:hAnsi="Open Sans" w:cs="Open Sans"/>
          <w:szCs w:val="22"/>
          <w:lang w:val="en-GB"/>
        </w:rPr>
        <w:fldChar w:fldCharType="end"/>
      </w:r>
      <w:r w:rsidRPr="002A63BA">
        <w:rPr>
          <w:rFonts w:ascii="Open Sans" w:hAnsi="Open Sans" w:cs="Open Sans"/>
          <w:szCs w:val="22"/>
          <w:lang w:val="en-GB"/>
        </w:rPr>
        <w:t xml:space="preserve">. Digital and telecommunication technologies cannot be used in isolation; for a city to become smart, it must have a high level of information technology integration and broad use of information resources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{"citationItems":[{"id":"ITEM-1","itemData":{"DOI":"10.1016/j.future.2017.03.034","ISSN":"0167739X","abstract":"The new Internet of Things (IoT) applications are enabling Smart City initiatives worldwide. It provides the ability to remotely monitor, manage and control devices, and to create new insights and actionable information from massive streams of real-time data. The main features of a smart city include a high degree of information technology integration and a comprehensive application of information resources. The essential components of urban development for a smart city should include smart technology, smart industry, smart services, smart management and smart life. The Internet of Things is about installing sensors (RFID, IR, GPS, laser scanners, etc.) for everything, and connecting them to the internet through specific protocols for information exchange and communications, in order to achieve intelligent recognition, location, tracking, monitoring and management. With the technical support from IoT, smart city need to have three features of being instrumented, interconnected and intelligent. Only then a Smart City can be formed by integrating all these intelligent features at its advanced stage of IOT development. The explosive growth of Smart City and Internet of Things applications creates many scientific and engineering challenges that call for ingenious research efforts from both academia and industry, especially for the development of efficient, scalable, and reliable Smart City based on IoT. New protocols, architectures, and services are in dire needs to respond for these challenges. The goal of the special issue is to bring together scholars, professors, researchers, engineers and administrators resorting to the state-of-the-art technologies and ideas to significantly improve the field of Smart City based on IoT.","author":[{"dropping-particle":"","family":"Kim","given":"Tai-hoon","non-dropping-particle":"","parse-names":false,"suffix":""},{"dropping-particle":"","family":"Ramos","given":"Carlos","non-dropping-particle":"","parse-names":false,"suffix":""},{"dropping-particle":"","family":"Mohammed","given":"Sabah","non-dropping-particle":"","parse-names":false,"suffix":""}],"container-title":"Future Generation Computer Systems","id":"ITEM-1","issue":"July 2014","issued":{"date-parts":[["2017"]]},"page":"159-162","publisher":"Elsevier B.V.","title":"Smart City and IoT","type":"article-journal","volume":"76"},"uris":["http://www.mendeley.com/documents/?uuid=c16be8d0-d2e0-48cf-9fd7-e15d77bd6f36"]}],"mendeley":{"formattedCitation":"(Kim, Ramos and Mohammed, 2017)","plainTextFormattedCitation":"(Kim, Ramos and Mohammed, 2017)","previouslyFormattedCitation":"(Kim, Ramos and Mohammed, 2017)"},"properties":{"noteIndex":0},"schema":"https://github.com/citation-style-language/schema/raw/master/csl-citation.json"}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(Kim, Ramos and Mohammed, 2017)</w:t>
      </w:r>
      <w:r w:rsidRPr="002A63BA">
        <w:rPr>
          <w:rFonts w:ascii="Open Sans" w:hAnsi="Open Sans" w:cs="Open Sans"/>
          <w:szCs w:val="22"/>
          <w:lang w:val="en-GB"/>
        </w:rPr>
        <w:fldChar w:fldCharType="end"/>
      </w:r>
      <w:r w:rsidRPr="002A63BA">
        <w:rPr>
          <w:rFonts w:ascii="Open Sans" w:hAnsi="Open Sans" w:cs="Open Sans"/>
          <w:szCs w:val="22"/>
          <w:lang w:val="en-GB"/>
        </w:rPr>
        <w:t>.</w:t>
      </w:r>
    </w:p>
    <w:p w14:paraId="30308007"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new emerging concept of the Internet of Things (IoT) has become a vital agenda when considering the future of information and communication technologies (ICT)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Korea","type":"article-journal","volume":"102"},"uris":["http://www.mendeley.com/documents/?uuid=68f81295-d570-4ba6-a5fe-8c9a274a0581"]}],"mendeley":{"formattedCitation":"(Kim and Kim, 2016)","plainTextFormattedCitation":"(Kim and Kim, 2016)","previouslyFormattedCitation":"(Kim and Kim, 2016)"},"properties":{"noteIndex":0},"schema":"https://github.com/citation-style-language/schema/raw/master/csl-citation.json"}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(Kim and Kim, 2016)</w:t>
      </w:r>
      <w:r w:rsidRPr="002A63BA">
        <w:rPr>
          <w:rFonts w:ascii="Open Sans" w:hAnsi="Open Sans" w:cs="Open Sans"/>
          <w:szCs w:val="22"/>
          <w:lang w:val="en-GB"/>
        </w:rPr>
        <w:fldChar w:fldCharType="end"/>
      </w:r>
      <w:r w:rsidRPr="002A63BA">
        <w:rPr>
          <w:rFonts w:ascii="Open Sans" w:hAnsi="Open Sans" w:cs="Open Sans"/>
          <w:noProof/>
          <w:szCs w:val="22"/>
          <w:lang w:val="en-GB"/>
        </w:rPr>
        <w:t>.</w:t>
      </w:r>
      <w:r w:rsidRPr="002A63BA">
        <w:rPr>
          <w:rFonts w:ascii="Open Sans" w:hAnsi="Open Sans" w:cs="Open Sans"/>
          <w:szCs w:val="22"/>
          <w:lang w:val="en-GB"/>
        </w:rPr>
        <w:t xml:space="preserve"> It enables remote monitoring, managing and controlling of devices, as well as creating knowledge from real-time data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{"citationItems":[{"id":"ITEM-1","itemData":{"DOI":"10.1016/j.jpdc.2018.10.008","ISSN":"07437315","abstract":"Decision-making is not a trivial process. It involves studying and analyzing different alternatives. In addition, it requires defining criteria for evaluating the alternatives. A problem arises when evaluating criteria that conflict or when dealing with qualitative criteria. The analytic hierarchy process (AHP) is a multi-criteria decision tool that simplifies the decision-making process. It can evaluate both qualitative and quantitative criteria. Moreover, AHP justifies the final decision by providing the mathematical reasoning behind the judgment. The aim of this research is to evaluate available Internet of Things (IoT) databases in an edge/cloud platform by applying AHP and to suggest a suitable approach for developing a database application. In this study, four alternative database development tools are evaluated: DaDaBIK, DataFlex, Oracle Application Express, and FileMaker. We define our criteria, explain why they are selected, and assign each a weight based on its importance. We then evaluate the candidates using the weighted criteria. FileMaker is found to be the best choice because it offers the best usability, portability, and supportability for IoT scenarios.","author":[{"dropping-particle":"","family":"Alelaiwi","given":"Abdulhameed","non-dropping-particle":"","parse-names":false,"suffix":""}],"container-title":"Journal of Parallel and Distributed Computing","id":"ITEM-1","issued":{"date-parts":[["2019"]]},"page":"41-46","publisher":"Elsevier Inc.","title":"Evaluating distributed IoT databases for edge/cloud platforms using the analytic hierarchy process","type":"article-journal","volume":"124"},"uris":["http://www.mendeley.com/documents/?uuid=6e6f4d7c-b955-4468-b1db-65cea4108f76"]},{"id":"ITEM-2","itemData":{"DOI":"10.1016/j.future.2017.03.034","ISSN":"0167739X","abstract":"The new Internet of Things (IoT) applications are enabling Smart City initiatives worldwide. It provides the ability to remotely monitor, manage and control devices, and to create new insights and actionable information from massive streams of real-time data. The main features of a smart city include a high degree of information technology integration and a comprehensive application of information resources. The essential components of urban development for a smart city should include smart technology, smart industry, smart services, smart management and smart life. The Internet of Things is about installing sensors (RFID, IR, GPS, laser scanners, etc.) for everything, and connecting them to the internet through specific protocols for information exchange and communications, in order to achieve intelligent recognition, location, tracking, monitoring and management. With the technical support from IoT, smart city need to have three features of being instrumented, interconnected and intelligent. Only then a Smart City can be formed by integrating all these intelligent features at its advanced stage of IOT development. The explosive growth of Smart City and Internet of Things applications creates many scientific and engineering challenges that call for ingenious research efforts from both academia and industry, especially for the development of efficient, scalable, and reliable Smart City based on IoT. New protocols, architectures, and services are in dire needs to respond for these challenges. The goal of the special issue is to bring together scholars, professors, researchers, engineers and administrators resorting to the state-of-the-art technologies and ideas to significantly improve the field of Smart City based on IoT.","author":[{"dropping-particle":"","family":"Kim","given":"Tai-hoon","non-dropping-particle":"","parse-names":false,"suffix":""},{"dropping-particle":"","family":"Ramos","given":"Carlos","non-dropping-particle":"","parse-names":false,"suffix":""},{"dropping-particle":"","family":"Mohammed","given":"Sabah","non-dropping-particle":"","parse-names":false,"suffix":""}],"container-title":"Future Generation Computer Systems","id":"ITEM-2","issue":"July 2014","issued":{"date-parts":[["2017"]]},"page":"159-162","publisher":"Elsevier B.V.","title":"Smart City and IoT","type":"article-journal","volume":"76"},"uris":["http://www.mendeley.com/documents/?uuid=c16be8d0-d2e0-48cf-9fd7-e15d77bd6f36"]},{"id":"ITEM-3","itemData":{"DOI":"10.1002/spe.2469","ISSN":"1097024X","abstract":"The growth of real-world objects with embedded and globally networked sensors allows to consolidate the Internet of things paradigm and increase the number of applications in the domains of ubiquitous and context-aware computing. The merging between cloud computing and Internet of things named cloud of things will be the key to handle thousands of sensors and their data. One of the main challenges in the cloud of things is context-aware sensor search and selection. Typically, sensors require to be searched using two or more conflicting context properties. Most of the existing work uses some kind of multi-criteria decision analysis to perform the sensor search and selection, but does not show any concern for the quality of the selection presented by these methods. In this paper, we analyse the behaviour of the SAW, TOPSIS and VIKOR multi-objective decision methods and their quality of selection comparing them with the Pareto-optimality solutions. The gathered results allow to analyse and compare these algorithms regarding their behaviour, the number of optimal solutions and redundancy. Copyright © 2016 John Wiley &amp; Sons, Ltd.","author":[{"dropping-particle":"","family":"Nunes","given":"Luiz Henrique","non-dropping-particle":"","parse-names":false,"suffix":""},{"dropping-particle":"","family":"Estrella","given":"Julio Cezar","non-dropping-particle":"","parse-names":false,"suffix":""},{"dropping-particle":"","family":"Perera","given":"Charith","non-dropping-particle":"","parse-names":false,"suffix":""},{"dropping-particle":"","family":"Reiff-Marganiec","given":"Stephan","non-dropping-particle":"","parse-names":false,"suffix":""},{"dropping-particle":"","family":"Botazzo Delbem","given":"Alexandre Cláudio","non-dropping-particle":"","parse-names":false,"suffix":""}],"container-title":"Software - Practice and Experience","id":"ITEM-3","issue":"10","issued":{"date-parts":[["2017"]]},"page":"1325-1341","title":"Multi-criteria IoT resource discovery: a comparative analysis","type":"article-journal","volume":"47"},"uris":["http://www.mendeley.com/documents/?uuid=b62ef07f-69c0-448b-81c2-01b2042494dc"]}],"mendeley":{"formattedCitation":"(Kim, Ramos and Mohammed, 2017; Nunes &lt;i&gt;et al.&lt;/i&gt;, 2017; Alelaiwi, 2019)","plainTextFormattedCitation":"(Kim, Ramos and Mohammed, 2017; Nunes et al., 2017; Alelaiwi, 2019)","previouslyFormattedCitation":"(Kim, Ramos and Mohammed, 2017; Nunes &lt;i&gt;et al.&lt;/i&gt;, 2017; Alelaiwi, 2019)"},"properties":{"noteIndex":0},"schema":"https://github.com/citation-style-language/schema/raw/master/csl-citation.json"}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(Kim, Ramos and Mohammed, 2017; Nunes </w:t>
      </w:r>
      <w:r w:rsidRPr="002A63BA">
        <w:rPr>
          <w:rFonts w:ascii="Open Sans" w:hAnsi="Open Sans" w:cs="Open Sans"/>
          <w:i/>
          <w:noProof/>
          <w:szCs w:val="22"/>
          <w:lang w:val="en-GB"/>
        </w:rPr>
        <w:t>et al.</w:t>
      </w:r>
      <w:r w:rsidRPr="002A63BA">
        <w:rPr>
          <w:rFonts w:ascii="Open Sans" w:hAnsi="Open Sans" w:cs="Open Sans"/>
          <w:noProof/>
          <w:szCs w:val="22"/>
          <w:lang w:val="en-GB"/>
        </w:rPr>
        <w:t>, 2017; Alelaiwi, 2019)</w:t>
      </w:r>
      <w:r w:rsidRPr="002A63BA">
        <w:rPr>
          <w:rFonts w:ascii="Open Sans" w:hAnsi="Open Sans" w:cs="Open Sans"/>
          <w:szCs w:val="22"/>
          <w:lang w:val="en-GB"/>
        </w:rPr>
        <w:fldChar w:fldCharType="end"/>
      </w:r>
      <w:r w:rsidRPr="002A63BA">
        <w:rPr>
          <w:rFonts w:ascii="Open Sans" w:hAnsi="Open Sans" w:cs="Open Sans"/>
          <w:szCs w:val="22"/>
          <w:lang w:val="en-GB"/>
        </w:rPr>
        <w:t xml:space="preserve">. The IoT can be viewed as an ecosystem that links physical objects (sensors) to telecommunication networks, bridging the gap between the physical and virtual worlds and enabling the creation of new services and applications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{"citationItems":[{"id":"ITEM-1","itemData":{"DOI":"10.1002/spe.2469","ISSN":"1097024X","abstract":"The growth of real-world objects with embedded and globally networked sensors allows to consolidate the Internet of things paradigm and increase the number of applications in the domains of ubiquitous and context-aware computing. The merging between cloud computing and Internet of things named cloud of things will be the key to handle thousands of sensors and their data. One of the main challenges in the cloud of things is context-aware sensor search and selection. Typically, sensors require to be searched using two or more conflicting context properties. Most of the existing work uses some kind of multi-criteria decision analysis to perform the sensor search and selection, but does not show any concern for the quality of the selection presented by these methods. In this paper, we analyse the behaviour of the SAW, TOPSIS and VIKOR multi-objective decision methods and their quality of selection comparing them with the Pareto-optimality solutions. The gathered results allow to analyse and compare these algorithms regarding their behaviour, the number of optimal solutions and redundancy. Copyright © 2016 John Wiley &amp; Sons, Ltd.","author":[{"dropping-particle":"","family":"Nunes","given":"Luiz Henrique","non-dropping-particle":"","parse-names":false,"suffix":""},{"dropping-particle":"","family":"Estrella","given":"Julio Cezar","non-dropping-particle":"","parse-names":false,"suffix":""},{"dropping-particle":"","family":"Perera","given":"Charith","non-dropping-particle":"","parse-names":false,"suffix":""},{"dropping-particle":"","family":"Reiff-Marganiec","given":"Stephan","non-dropping-particle":"","parse-names":false,"suffix":""},{"dropping-particle":"","family":"Botazzo Delbem","given":"Alexandre Cláudio","non-dropping-particle":"","parse-names":false,"suffix":""}],"container-title":"Software - Practice and Experience","id":"ITEM-1","issue":"10","issued":{"date-parts":[["2017"]]},"page":"1325-1341","title":"Multi-criteria IoT resource discovery: a comparative analysis","type":"article-journal","volume":"47"},"uris":["http://www.mendeley.com/documents/?uuid=b62ef07f-69c0-448b-81c2-01b2042494dc"]}],"mendeley":{"formattedCitation":"(Nunes &lt;i&gt;et al.&lt;/i&gt;, 2017)","plainTextFormattedCitation":"(Nunes et al., 2017)","previouslyFormattedCitation":"(Nunes &lt;i&gt;et al.&lt;/i&gt;, 2017)"},"properties":{"noteIndex":0},"schema":"https://github.com/citation-style-language/schema/raw/master/csl-citation.json"}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(Nunes </w:t>
      </w:r>
      <w:r w:rsidRPr="002A63BA">
        <w:rPr>
          <w:rFonts w:ascii="Open Sans" w:hAnsi="Open Sans" w:cs="Open Sans"/>
          <w:i/>
          <w:noProof/>
          <w:szCs w:val="22"/>
          <w:lang w:val="en-GB"/>
        </w:rPr>
        <w:t>et al.</w:t>
      </w:r>
      <w:r w:rsidRPr="002A63BA">
        <w:rPr>
          <w:rFonts w:ascii="Open Sans" w:hAnsi="Open Sans" w:cs="Open Sans"/>
          <w:noProof/>
          <w:szCs w:val="22"/>
          <w:lang w:val="en-GB"/>
        </w:rPr>
        <w:t>, 2017)</w:t>
      </w:r>
      <w:r w:rsidRPr="002A63BA">
        <w:rPr>
          <w:rFonts w:ascii="Open Sans" w:hAnsi="Open Sans" w:cs="Open Sans"/>
          <w:szCs w:val="22"/>
          <w:lang w:val="en-GB"/>
        </w:rPr>
        <w:fldChar w:fldCharType="end"/>
      </w:r>
      <w:r w:rsidRPr="002A63BA">
        <w:rPr>
          <w:rFonts w:ascii="Open Sans" w:hAnsi="Open Sans" w:cs="Open Sans"/>
          <w:szCs w:val="22"/>
          <w:lang w:val="en-GB"/>
        </w:rPr>
        <w:t xml:space="preserve">. IoT assumes installing and connecting sensors to the internet through specific protocols for information exchange to accomplish intelligent recognition, location, tracking, monitoring, and management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Korea","type":"article-journal","volume":"102"},"uris":["http://www.mendeley.com/documents/?uuid=68f81295-d570-4ba6-a5fe-8c9a274a0581"]},{"id":"ITEM-2","itemData":{"DOI":"10.1080/17517575.2019.1698060","ISSN":"17517583","abstract":"This article addresses a multi-criteria decision problem regarding the more suitable device (system) to perform a task for cyber-physical systems. New embedded systems provided everyday makes engineers’ decision very difficult. Components are proposed to formally describe solutions, criteria, constraints and priorities, taking into account users’ specific aspects. To materialise all formal descriptions, a model-driven approach is followed, allowing the design of enablers for interoperability with standards. It is enabled the use of different software languages and decision methods. Proposed framework enables a better Internet-of-Things system selection, and therefore stakeholders can perform a more suitable design of their cyber-physical enterprise systems.","author":[{"dropping-particle":"","family":"Silva","given":"Edgar M.","non-dropping-particle":"","parse-names":false,"suffix":""},{"dropping-particle":"","family":"Jardim-Goncalves","given":"Ricardo","non-dropping-particle":"","parse-names":false,"suffix":""}],"container-title":"Enterprise Information Systems","id":"ITEM-2","issue":"3","issued":{"date-parts":[["2021"]]},"page":"332-351","publisher":"Taylor &amp; Francis","title":"Cyber-Physical Systems: a multi-criteria assessment for Internet-of-Things (IoT) systems","type":"article-journal","volume":"15"},"uris":["http://www.mendeley.com/documents/?uuid=2edd903d-a4c4-48c4-ae71-f4654b61f431"]}],"mendeley":{"formattedCitation":"(Kim and Kim, 2016; Silva and Jardim-Goncalves, 2021)","plainTextFormattedCitation":"(Kim and Kim, 2016; Silva and Jardim-Goncalves, 2021)","previouslyFormattedCitation":"(Kim and Kim, 2016; Silva and Jardim-Goncalves, 2021)"},"properties":{"noteIndex":0},"schema":"https://github.com/citation-style-language/schema/raw/master/csl-citation.json"}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(Kim and Kim, 2016; Silva and Jardim-Goncalves, 2021)</w:t>
      </w:r>
      <w:r w:rsidRPr="002A63BA">
        <w:rPr>
          <w:rFonts w:ascii="Open Sans" w:hAnsi="Open Sans" w:cs="Open Sans"/>
          <w:szCs w:val="22"/>
          <w:lang w:val="en-GB"/>
        </w:rPr>
        <w:fldChar w:fldCharType="end"/>
      </w:r>
      <w:r w:rsidRPr="002A63BA">
        <w:rPr>
          <w:rFonts w:ascii="Open Sans" w:hAnsi="Open Sans" w:cs="Open Sans"/>
          <w:szCs w:val="22"/>
          <w:lang w:val="en-GB"/>
        </w:rPr>
        <w:t xml:space="preserve">. Successful implementation of IoT platforms could bring up significant benefits, e.g., efficiency, effectiveness, safety, security, and quality decision-making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Korea","type":"article-journal","volume":"102"},"uris":["http://www.mendeley.com/documents/?uuid=68f81295-d570-4ba6-a5fe-8c9a274a0581"]}],"mendeley":{"formattedCitation":"(Kim and Kim, 2016)","plainTextFormattedCitation":"(Kim and Kim, 2016)","previouslyFormattedCitation":"(Kim and Kim, 2016)"},"properties":{"noteIndex":0},"schema":"https://github.com/citation-style-language/schema/raw/master/csl-citation.json"}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(Kim and Kim, 2016)</w:t>
      </w:r>
      <w:r w:rsidRPr="002A63BA">
        <w:rPr>
          <w:rFonts w:ascii="Open Sans" w:hAnsi="Open Sans" w:cs="Open Sans"/>
          <w:szCs w:val="22"/>
          <w:lang w:val="en-GB"/>
        </w:rPr>
        <w:fldChar w:fldCharType="end"/>
      </w:r>
      <w:r w:rsidRPr="002A63BA">
        <w:rPr>
          <w:rFonts w:ascii="Open Sans" w:hAnsi="Open Sans" w:cs="Open Sans"/>
          <w:noProof/>
          <w:szCs w:val="22"/>
          <w:lang w:val="en-GB"/>
        </w:rPr>
        <w:t>. In addition,</w:t>
      </w:r>
      <w:r w:rsidRPr="002A63BA">
        <w:rPr>
          <w:rFonts w:ascii="Open Sans" w:hAnsi="Open Sans" w:cs="Open Sans"/>
          <w:szCs w:val="22"/>
          <w:lang w:val="en-GB"/>
        </w:rPr>
        <w:t xml:space="preserve"> IoT platforms are the most crucial component of the IoT concept because </w:t>
      </w:r>
      <w:r w:rsidRPr="002A63BA">
        <w:rPr>
          <w:rFonts w:ascii="Open Sans" w:hAnsi="Open Sans" w:cs="Open Sans"/>
          <w:szCs w:val="22"/>
          <w:lang w:val="en-GB"/>
        </w:rPr>
        <w:lastRenderedPageBreak/>
        <w:t xml:space="preserve">they bridge the gap between device sensors and data networks. The platform links data to the sensor system and provides insights via back-end apps, allowing users to obtain a sense of the enormous amount of data flowing in from various sensors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{"citationItems":[{"id":"ITEM-1","itemData":{"DOI":"10.1002/spe.2469","ISSN":"1097024X","abstract":"The growth of real-world objects with embedded and globally networked sensors allows to consolidate the Internet of things paradigm and increase the number of applications in the domains of ubiquitous and context-aware computing. The merging between cloud computing and Internet of things named cloud of things will be the key to handle thousands of sensors and their data. One of the main challenges in the cloud of things is context-aware sensor search and selection. Typically, sensors require to be searched using two or more conflicting context properties. Most of the existing work uses some kind of multi-criteria decision analysis to perform the sensor search and selection, but does not show any concern for the quality of the selection presented by these methods. In this paper, we analyse the behaviour of the SAW, TOPSIS and VIKOR multi-objective decision methods and their quality of selection comparing them with the Pareto-optimality solutions. The gathered results allow to analyse and compare these algorithms regarding their behaviour, the number of optimal solutions and redundancy. Copyright © 2016 John Wiley &amp; Sons, Ltd.","author":[{"dropping-particle":"","family":"Nunes","given":"Luiz Henrique","non-dropping-particle":"","parse-names":false,"suffix":""},{"dropping-particle":"","family":"Estrella","given":"Julio Cezar","non-dropping-particle":"","parse-names":false,"suffix":""},{"dropping-particle":"","family":"Perera","given":"Charith","non-dropping-particle":"","parse-names":false,"suffix":""},{"dropping-particle":"","family":"Reiff-Marganiec","given":"Stephan","non-dropping-particle":"","parse-names":false,"suffix":""},{"dropping-particle":"","family":"Botazzo Delbem","given":"Alexandre Cláudio","non-dropping-particle":"","parse-names":false,"suffix":""}],"container-title":"Software - Practice and Experience","id":"ITEM-1","issue":"10","issued":{"date-parts":[["2017"]]},"page":"1325-1341","title":"Multi-criteria IoT resource discovery: a comparative analysis","type":"article-journal","volume":"47"},"uris":["http://www.mendeley.com/documents/?uuid=b62ef07f-69c0-448b-81c2-01b2042494dc"]}],"mendeley":{"formattedCitation":"(Nunes &lt;i&gt;et al.&lt;/i&gt;, 2017)","plainTextFormattedCitation":"(Nunes et al., 2017)","previouslyFormattedCitation":"(Nunes &lt;i&gt;et al.&lt;/i&gt;, 2017)"},"properties":{"noteIndex":0},"schema":"https://github.com/citation-style-language/schema/raw/master/csl-citation.json"}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(Nunes </w:t>
      </w:r>
      <w:r w:rsidRPr="002A63BA">
        <w:rPr>
          <w:rFonts w:ascii="Open Sans" w:hAnsi="Open Sans" w:cs="Open Sans"/>
          <w:i/>
          <w:noProof/>
          <w:szCs w:val="22"/>
          <w:lang w:val="en-GB"/>
        </w:rPr>
        <w:t>et al.</w:t>
      </w:r>
      <w:r w:rsidRPr="002A63BA">
        <w:rPr>
          <w:rFonts w:ascii="Open Sans" w:hAnsi="Open Sans" w:cs="Open Sans"/>
          <w:noProof/>
          <w:szCs w:val="22"/>
          <w:lang w:val="en-GB"/>
        </w:rPr>
        <w:t>, 2017)</w:t>
      </w:r>
      <w:r w:rsidRPr="002A63BA">
        <w:rPr>
          <w:rFonts w:ascii="Open Sans" w:hAnsi="Open Sans" w:cs="Open Sans"/>
          <w:szCs w:val="22"/>
          <w:lang w:val="en-GB"/>
        </w:rPr>
        <w:fldChar w:fldCharType="end"/>
      </w:r>
      <w:r w:rsidRPr="002A63BA">
        <w:rPr>
          <w:rFonts w:ascii="Open Sans" w:hAnsi="Open Sans" w:cs="Open Sans"/>
          <w:szCs w:val="22"/>
          <w:lang w:val="en-GB"/>
        </w:rPr>
        <w:t xml:space="preserve">. </w:t>
      </w:r>
    </w:p>
    <w:p w14:paraId="4FAC5D64"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A wide range of IoT integration platforms became recently available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{"citationItems":[{"id":"ITEM-1","itemData":{"DOI":"10.1016/j.autcon.2019.103046","ISSN":"0926-5805","author":[{"dropping-particle":"","family":"Abdelmegid","given":"M A","non-dropping-particle":"","parse-names":false,"suffix":""},{"dropping-particle":"","family":"González","given":"V A","non-dropping-particle":"","parse-names":false,"suffix":""},{"dropping-particle":"","family":"Poshdar","given":"M","non-dropping-particle":"","parse-names":false,"suffix":""},{"dropping-particle":"","family":"Sullivan","given":"M O","non-dropping-particle":"","parse-names":false,"suffix":""},{"dropping-particle":"","family":"Walker","given":"C G","non-dropping-particle":"","parse-names":false,"suffix":""},{"dropping-particle":"","family":"Ying","given":"F","non-dropping-particle":"","parse-names":false,"suffix":""}],"container-title":"Automation in Construction","id":"ITEM-1","issue":"June 2019","issued":{"date-parts":[["2020"]]},"page":"103046","publisher":"Elsevier","title":"Automation in Construction Barriers to adopting simulation modelling in construction industry","type":"article-journal","volume":"111"},"uris":["http://www.mendeley.com/documents/?uuid=5426b97e-0017-42eb-aaa9-6ac345372f1f"]}],"mendeley":{"formattedCitation":"(Abdelmegid &lt;i&gt;et al.&lt;/i&gt;, 2020)","plainTextFormattedCitation":"(Abdelmegid et al., 2020)","previouslyFormattedCitation":"(Abdelmegid &lt;i&gt;et al.&lt;/i&gt;, 2020)"},"properties":{"noteIndex":0},"schema":"https://github.com/citation-style-language/schema/raw/master/csl-citation.json"}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 xml:space="preserve">(Abdelmegid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szCs w:val="22"/>
        </w:rPr>
        <w:fldChar w:fldCharType="end"/>
      </w:r>
      <w:r w:rsidRPr="002A63BA">
        <w:rPr>
          <w:rFonts w:ascii="Open Sans" w:hAnsi="Open Sans" w:cs="Open Sans"/>
          <w:szCs w:val="22"/>
          <w:lang w:val="en-GB"/>
        </w:rPr>
        <w:t xml:space="preserve"> and therefore, the number of platforms providers (vendors) is also growing. Furthermore, research company Gartner (2020) expects the global government IoT endpoint electronics and communications market to reach $17.4 billion in 2021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{"citationItems":[{"id":"ITEM-1","itemData":{"URL":"https://gtnr.it/2Tt0Ivj","author":[{"dropping-particle":"","family":"Gartner","given":"","non-dropping-particle":"","parse-names":false,"suffix":""}],"id":"ITEM-1","issued":{"date-parts":[["2020"]]},"title":"Gartner Says Government IoT Revenue for Endpoint Electronics and Communications to Total $15 Billion in 2020","type":"webpage"},"uris":["http://www.mendeley.com/documents/?uuid=221e4453-4638-4c9e-8440-a0bc029c7307"]}],"mendeley":{"formattedCitation":"(Gartner, 2020)","plainTextFormattedCitation":"(Gartner, 2020)","previouslyFormattedCitation":"(Gartner, 2020)"},"properties":{"noteIndex":0},"schema":"https://github.com/citation-style-language/schema/raw/master/csl-citation.json"}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(Gartner, 2020)</w:t>
      </w:r>
      <w:r w:rsidRPr="002A63BA">
        <w:rPr>
          <w:rFonts w:ascii="Open Sans" w:hAnsi="Open Sans" w:cs="Open Sans"/>
          <w:szCs w:val="22"/>
        </w:rPr>
        <w:fldChar w:fldCharType="end"/>
      </w:r>
      <w:r w:rsidRPr="002A63BA">
        <w:rPr>
          <w:rFonts w:ascii="Open Sans" w:hAnsi="Open Sans" w:cs="Open Sans"/>
          <w:szCs w:val="22"/>
          <w:lang w:val="en-GB"/>
        </w:rPr>
        <w:t xml:space="preserve">. Relevant IoT end-users in the smart city (e.g., city administrators, managers, decision-makers and policy planners) need to answer crucial questions related to the selection of the IoT platforms that are to be implemented. Different IoT technologies in smart cities enable the utilization of different devices, which would increase the life quality in cities as well as the efficiency of various daily services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author":[{"dropping-particle":"","family":"Nižetić","given":"Sandro","non-dropping-particle":"","parse-names":false,"suffix":""},{"dropping-particle":"","family":"Šolić","given":"Petar","non-dropping-particle":"","parse-names":false,"suffix":""},{"dropping-particle":"","family":"Lopez-de-Ipina Gonzalez-de-Artaza","given":"Diego","non-dropping-particle":"","parse-names":false,"suffix":""},{"dropping-particle":"","family":"Patrono","given":"Luigi","non-dropping-particle":"","parse-names":false,"suffix":""}],"container-title":"Journal of ckeaner production","id":"ITEM-1","issue":"January","issued":{"date-parts":[["2020"]]},"title":"Internet of Things (IoT): Opportunities, issues and challenges towards a smart and sustainable future","type":"article-journal","volume":"274"},"uris":["http://www.mendeley.com/documents/?uuid=c440a92d-8b4d-4491-831a-49632f7e4b5b"]}],"mendeley":{"formattedCitation":"(Nižetić &lt;i&gt;et al.&lt;/i&gt;, 2020)","plainTextFormattedCitation":"(Nižetić et al., 2020)","previouslyFormattedCitation":"(Nižetić &lt;i&gt;et al.&lt;/i&gt;, 2020)"},"properties":{"noteIndex":0},"schema":"https://github.com/citation-style-language/schema/raw/master/csl-citation.json"}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 xml:space="preserve">(Nižetić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szCs w:val="22"/>
        </w:rPr>
        <w:fldChar w:fldCharType="end"/>
      </w:r>
      <w:r w:rsidRPr="002A63BA">
        <w:rPr>
          <w:rFonts w:ascii="Open Sans" w:hAnsi="Open Sans" w:cs="Open Sans"/>
          <w:szCs w:val="22"/>
          <w:lang w:val="en-GB"/>
        </w:rPr>
        <w:t xml:space="preserve">. Selecting the most suitable platform for individual users is a critical challenge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Society","id":"ITEM-1","issue":"October 2019","issued":{"date-parts":[["2020"]]},"page":"101216","publisher":"Elsevier Ltd","title":"A multi-criteria analysis for an internet of things application recommendation system","type":"article-journal","volume":"60"},"uris":["http://www.mendeley.com/documents/?uuid=494cebf4-8679-46c0-806c-09d3c14188a8"]}],"mendeley":{"formattedCitation":"(Mashal, Alsaryrah and Chung, 2020)","plainTextFormattedCitation":"(Mashal, Alsaryrah and Chung, 2020)","previouslyFormattedCitation":"(Mashal, Alsaryrah and Chung, 2020)"},"properties":{"noteIndex":0},"schema":"https://github.com/citation-style-language/schema/raw/master/csl-citation.json"}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(Mashal, Alsaryrah and Chung, 2020)</w:t>
      </w:r>
      <w:r w:rsidRPr="002A63BA">
        <w:rPr>
          <w:rFonts w:ascii="Open Sans" w:hAnsi="Open Sans" w:cs="Open Sans"/>
          <w:szCs w:val="22"/>
        </w:rPr>
        <w:fldChar w:fldCharType="end"/>
      </w:r>
      <w:r w:rsidRPr="002A63BA">
        <w:rPr>
          <w:rFonts w:ascii="Open Sans" w:hAnsi="Open Sans" w:cs="Open Sans"/>
          <w:szCs w:val="22"/>
          <w:lang w:val="en-GB"/>
        </w:rPr>
        <w:t xml:space="preserve">. The literature shows the existence of few criteria and alternatives when selecting an IoT platform, where neither is dominant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{"citationItems":[{"id":"ITEM-1","itemData":{"DOI":"10.13053/rcs-148-11-1","ISSN":"1870-4069","abstract":"Industry 4.0 is having a great impact in all industries. Thisis not a unique product, but is composed of several technologies. IoTis a key intelligent factor that allows factories to act intelligently. Byadding sensors and actuators to the objects, the object becomes intelli-gent because it can interact with people, other objects, generate data,generate transactions and react to the environment data. Currently thereare very varied implementation options offered by several companies, andthis imposes a new challenge to companies that want to implement IoT intheir processes. The decision processes that companies must follow shouldnot be free will or by hunches, since this contradicts a methodologyand would make the decision process unrepeatable and unjustifiable.Decisions must be supported by methods that consider pros and cons ofplural points of view that affect the decision process. With a wide range ofIoT platforms, which are not directly comparable to each other, it seemsthat Multi-Criteria Decision Analysis (MCDA) can be useful to helpcompanies make a decision on what platform to implement, dependingon the circumstances prevailing in each company at the time to makethe choice. This article shows the complexity of selecting an IoT platformand provides the key decision criteria that must be taken into accountwhen evaluating IoT Platforms alternatives.","author":[{"dropping-particle":"","family":"Contreras-Masse","given":"Roberto","non-dropping-particle":"","parse-names":false,"suffix":""},{"dropping-particle":"","family":"Ochoa-Zezzatti","given":"Alberto","non-dropping-particle":"","parse-names":false,"suffix":""},{"dropping-particle":"","family":"García","given":"Vicente","non-dropping-particle":"","parse-names":false,"suffix":""},{"dropping-particle":"","family":"Elizondo","given":"Mayra","non-dropping-particle":"","parse-names":false,"suffix":""}],"container-title":"Research in Computing Science","id":"ITEM-1","issue":"11","issued":{"date-parts":[["2019"]]},"page":"9-19","title":"Selection of IoT Platform with Multi-Criteria Analysis: Defining Criteria and Experts to Interview","type":"article-journal","volume":"148"},"uris":["http://www.mendeley.com/documents/?uuid=1e5b2eca-ff4e-425e-8c79-accfd69db8c3"]}],"mendeley":{"formattedCitation":"(Contreras-Masse &lt;i&gt;et al.&lt;/i&gt;, 2019)","plainTextFormattedCitation":"(Contreras-Masse et al., 2019)","previouslyFormattedCitation":"(Contreras-Masse &lt;i&gt;et al.&lt;/i&gt;, 2019)"},"properties":{"noteIndex":0},"schema":"https://github.com/citation-style-language/schema/raw/master/csl-citation.json"}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 xml:space="preserve">(Contreras-Masse </w:t>
      </w:r>
      <w:r w:rsidRPr="002A63BA">
        <w:rPr>
          <w:rFonts w:ascii="Open Sans" w:hAnsi="Open Sans" w:cs="Open Sans"/>
          <w:i/>
          <w:noProof/>
          <w:szCs w:val="22"/>
          <w:lang w:val="en-GB"/>
        </w:rPr>
        <w:t>et al.</w:t>
      </w:r>
      <w:r w:rsidRPr="002A63BA">
        <w:rPr>
          <w:rFonts w:ascii="Open Sans" w:hAnsi="Open Sans" w:cs="Open Sans"/>
          <w:noProof/>
          <w:szCs w:val="22"/>
          <w:lang w:val="en-GB"/>
        </w:rPr>
        <w:t>, 2019)</w:t>
      </w:r>
      <w:r w:rsidRPr="002A63BA">
        <w:rPr>
          <w:rFonts w:ascii="Open Sans" w:hAnsi="Open Sans" w:cs="Open Sans"/>
          <w:szCs w:val="22"/>
        </w:rPr>
        <w:fldChar w:fldCharType="end"/>
      </w:r>
      <w:r w:rsidRPr="002A63BA">
        <w:rPr>
          <w:rFonts w:ascii="Open Sans" w:hAnsi="Open Sans" w:cs="Open Sans"/>
          <w:szCs w:val="22"/>
          <w:lang w:val="en-GB"/>
        </w:rPr>
        <w:t xml:space="preserve">. </w:t>
      </w:r>
    </w:p>
    <w:p w14:paraId="22879ECB" w14:textId="77777777" w:rsidR="00AE101A" w:rsidRPr="002A63BA" w:rsidRDefault="00AE101A" w:rsidP="00FF3EE4">
      <w:pPr>
        <w:pStyle w:val="SORtekst"/>
        <w:spacing w:line="276" w:lineRule="auto"/>
        <w:rPr>
          <w:rFonts w:ascii="Open Sans" w:hAnsi="Open Sans" w:cs="Open Sans"/>
          <w:szCs w:val="22"/>
          <w:highlight w:val="yellow"/>
          <w:lang w:val="en-GB"/>
        </w:rPr>
      </w:pPr>
      <w:r w:rsidRPr="002A63BA">
        <w:rPr>
          <w:rFonts w:ascii="Open Sans" w:hAnsi="Open Sans" w:cs="Open Sans"/>
          <w:szCs w:val="22"/>
          <w:lang w:val="en-GB"/>
        </w:rPr>
        <w:t xml:space="preserve">Given the above, the motivation of this paper lies in a practical and theoretical need to investigate </w:t>
      </w:r>
      <w:r w:rsidRPr="002A63BA">
        <w:rPr>
          <w:rFonts w:ascii="Open Sans" w:hAnsi="Open Sans" w:cs="Open Sans"/>
          <w:i/>
          <w:szCs w:val="22"/>
        </w:rPr>
        <w:t>whether commonly used criteria for the selection of technology, in general, are applicable for IoT platforms</w:t>
      </w:r>
      <w:r w:rsidRPr="002A63BA">
        <w:rPr>
          <w:rFonts w:ascii="Open Sans" w:hAnsi="Open Sans" w:cs="Open Sans"/>
          <w:szCs w:val="22"/>
          <w:lang w:val="en-GB"/>
        </w:rPr>
        <w:t xml:space="preserve"> </w:t>
      </w:r>
      <w:r w:rsidRPr="002A63BA">
        <w:rPr>
          <w:rFonts w:ascii="Open Sans" w:hAnsi="Open Sans" w:cs="Open Sans"/>
          <w:i/>
          <w:szCs w:val="22"/>
        </w:rPr>
        <w:t>as a part of the smart city concept.</w:t>
      </w:r>
      <w:r w:rsidRPr="002A63BA">
        <w:rPr>
          <w:rFonts w:ascii="Open Sans" w:hAnsi="Open Sans" w:cs="Open Sans"/>
          <w:szCs w:val="22"/>
          <w:lang w:val="en-GB"/>
        </w:rPr>
        <w:t xml:space="preserve"> In addition, the presented study aims to answer the derived research question of </w:t>
      </w:r>
      <w:r w:rsidRPr="002A63BA">
        <w:rPr>
          <w:rFonts w:ascii="Open Sans" w:hAnsi="Open Sans" w:cs="Open Sans"/>
          <w:i/>
          <w:szCs w:val="22"/>
        </w:rPr>
        <w:t>whether differences exist in the perceived importance of IoT platforms' selection criteria between end-users and vendors in Croatia and Slovenia</w:t>
      </w:r>
      <w:r w:rsidRPr="002A63BA">
        <w:rPr>
          <w:rFonts w:ascii="Open Sans" w:hAnsi="Open Sans" w:cs="Open Sans"/>
          <w:szCs w:val="22"/>
          <w:lang w:val="en-GB"/>
        </w:rPr>
        <w:t xml:space="preserve">. This research gap has been partially addressed by </w:t>
      </w:r>
      <w:r w:rsidRPr="002A63BA">
        <w:rPr>
          <w:rFonts w:ascii="Open Sans" w:hAnsi="Open Sans" w:cs="Open Sans"/>
          <w:szCs w:val="22"/>
        </w:rPr>
        <w:fldChar w:fldCharType="begin" w:fldLock="1"/>
      </w:r>
      <w:r w:rsidRPr="002A63BA">
        <w:rPr>
          <w:rFonts w:ascii="Open Sans" w:hAnsi="Open Sans" w:cs="Open Sans"/>
          <w:szCs w:val="22"/>
          <w:lang w:val="en-GB"/>
        </w:rPr>
        <w:instrText>ADDIN CSL_CITATION {"citationItems":[{"id":"ITEM-1","itemData":{"author":[{"dropping-particle":"","family":"Mijač","given":"Tea","non-dropping-particle":"","parse-names":false,"suffix":""},{"dropping-particle":"","family":"Ninčević Pašalić","given":"Ivana","non-dropping-particle":"","parse-names":false,"suffix":""},{"dropping-particle":"","family":"Tomat","given":"Luka","non-dropping-particle":"","parse-names":false,"suffix":""}],"container-title":"Proceedings of the 16 th International Symposium on Operational Research in Slovenia","id":"ITEM-1","issued":{"date-parts":[["2021"]]},"page":"35-40","title":"SELECTION OF IOT PLATFORMS IN SMART CITIES: MULTICRITERIA DECISION MAKING","type":"paper-conference"},"uris":["http://www.mendeley.com/documents/?uuid=4cc463d8-4b79-45fa-8b69-02031c6adb52"]}],"mendeley":{"formattedCitation":"(Mijač, Ninčević Pašalić and Tomat, 2021)"},"properties":{"noteIndex":0},"schema":"https://github.com/citation-style-language/schema/raw/master/csl-citation.json"}</w:instrText>
      </w:r>
      <w:r w:rsidRPr="002A63BA">
        <w:rPr>
          <w:rFonts w:ascii="Open Sans" w:hAnsi="Open Sans" w:cs="Open Sans"/>
          <w:szCs w:val="22"/>
        </w:rPr>
        <w:fldChar w:fldCharType="separate"/>
      </w:r>
      <w:r w:rsidRPr="002A63BA">
        <w:rPr>
          <w:rFonts w:ascii="Open Sans" w:hAnsi="Open Sans" w:cs="Open Sans"/>
          <w:noProof/>
          <w:szCs w:val="22"/>
          <w:lang w:val="en-GB"/>
        </w:rPr>
        <w:t>(Mijač, Ninčević Pašalić and Tomat, 2021)</w:t>
      </w:r>
      <w:r w:rsidRPr="002A63BA">
        <w:rPr>
          <w:rFonts w:ascii="Open Sans" w:hAnsi="Open Sans" w:cs="Open Sans"/>
          <w:szCs w:val="22"/>
        </w:rPr>
        <w:fldChar w:fldCharType="end"/>
      </w:r>
      <w:r w:rsidRPr="002A63BA">
        <w:rPr>
          <w:rFonts w:ascii="Open Sans" w:hAnsi="Open Sans" w:cs="Open Sans"/>
          <w:szCs w:val="22"/>
          <w:lang w:val="en-GB"/>
        </w:rPr>
        <w:t xml:space="preserve">, however, future research directions refer to expanding the number and diversity of participants as well as including some vendors and smart city managers in wider geographical regions (Slovenia). With this paper, the authors fill the research gap by including non-IT experts in evaluating the criteria and comparing previously collected data with another geographical area - </w:t>
      </w:r>
      <w:r w:rsidRPr="002A63BA">
        <w:rPr>
          <w:rFonts w:ascii="Open Sans" w:hAnsi="Open Sans" w:cs="Open Sans"/>
          <w:szCs w:val="22"/>
          <w:lang w:val="en-GB"/>
        </w:rPr>
        <w:lastRenderedPageBreak/>
        <w:t>Slovenia. This approach has not been presented before to the best of our knowledge.</w:t>
      </w:r>
      <w:r w:rsidRPr="002A63BA">
        <w:rPr>
          <w:rFonts w:ascii="Open Sans" w:hAnsi="Open Sans" w:cs="Open Sans"/>
          <w:szCs w:val="22"/>
          <w:highlight w:val="yellow"/>
          <w:lang w:val="en-GB"/>
        </w:rPr>
        <w:t xml:space="preserve"> </w:t>
      </w:r>
    </w:p>
    <w:p w14:paraId="47E3A6F0"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environment considered for this study includes the smart cities of Croatia and Slovenia. As stated previously, a city could be considered "smart" if it has a project in one or more of the six dimensions (Giffinger and Gudrun, 2010). Taking into consideration more strict approach - the SC maturity levels (EU, 2014), research conducted on the 20 largest Croatian cities (over 25.000 inhabitants) confirmed that only four cities (20%) meet this criterion and thus categorise as a smart city while two more are in the process of developing their SC strategies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{"citationItems":[{"id":"ITEM-1","itemData":{"author":[{"dropping-particle":"","family":"Ninčević Pašalić","given":"I.","non-dropping-particle":"","parse-names":false,"suffix":""},{"dropping-particle":"","family":"Jadrić","given":"M.","non-dropping-particle":"","parse-names":false,"suffix":""},{"dropping-particle":"","family":"Ćukušić","given":"M.","non-dropping-particle":"","parse-names":false,"suffix":""}],"container-title":"Proceedings of FEB Zagreb 11th International Odyssey Conference on Economics and Business","id":"ITEM-1","issued":{"date-parts":[["2020"]]},"title":"E-Participation Tools Used by City Governments in Croatia","type":"paper-conference"},"uris":["http://www.mendeley.com/documents/?uuid=f56d0cd1-373a-4fef-9df2-3f9623bb9e46"]}],"mendeley":{"formattedCitation":"(Ninčević Pašalić, Jadrić and Ćukušić, 2020)","plainTextFormattedCitation":"(Ninčević Pašalić, Jadrić and Ćukušić, 2020)","previouslyFormattedCitation":"(Ninčević Pašalić, Jadrić and Ćukušić, 2020)"},"properties":{"noteIndex":0},"schema":"https://github.com/citation-style-language/schema/raw/master/csl-citation.json"}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(Ninčević Pašalić, Jadrić and Ćukušić, 2020)</w:t>
      </w:r>
      <w:r w:rsidRPr="002A63BA">
        <w:rPr>
          <w:rFonts w:ascii="Open Sans" w:hAnsi="Open Sans" w:cs="Open Sans"/>
          <w:szCs w:val="22"/>
          <w:lang w:val="en-GB"/>
        </w:rPr>
        <w:fldChar w:fldCharType="end"/>
      </w:r>
      <w:r w:rsidRPr="002A63BA">
        <w:rPr>
          <w:rFonts w:ascii="Open Sans" w:hAnsi="Open Sans" w:cs="Open Sans"/>
          <w:szCs w:val="22"/>
          <w:lang w:val="en-GB"/>
        </w:rPr>
        <w:t xml:space="preserve">. As for Slovenia, authors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{"citationItems":[{"id":"ITEM-1","itemData":{"abstract":"… Statistical Office Eurostat, while the second one is based on an evaluation model that included … indicated that Slovenia has many things in common with other European cities; however, there … some differences which need to be taken into consideration when creating a smart city …","author":[{"dropping-particle":"","family":"Pušnik","given":"M","non-dropping-particle":"","parse-names":false,"suffix":""},{"dropping-particle":"","family":"Pavlinek","given":"M","non-dropping-particle":"","parse-names":false,"suffix":""},{"dropping-particle":"","family":"Šumak","given":"B","non-dropping-particle":"","parse-names":false,"suffix":""},{"dropping-particle":"","family":"...","given":"","non-dropping-particle":"","parse-names":false,"suffix":""}],"container-title":"… European Conference on …","id":"ITEM-1","issued":{"date-parts":[["2019"]]},"page":"143-147","title":"Analysis of Characteristics of Urban Communities in Slovenia for Smart City Development","type":"article-journal"},"uris":["http://www.mendeley.com/documents/?uuid=c4a66719-6769-47b3-b1f6-5424e6d06429"]}],"mendeley":{"formattedCitation":"(Pušnik &lt;i&gt;et al.&lt;/i&gt;, 2019)","plainTextFormattedCitation":"(Pušnik et al., 2019)","previouslyFormattedCitation":"(Pušnik &lt;i&gt;et al.&lt;/i&gt;, 2019)"},"properties":{"noteIndex":0},"schema":"https://github.com/citation-style-language/schema/raw/master/csl-citation.json"}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(Pušnik </w:t>
      </w:r>
      <w:r w:rsidRPr="002A63BA">
        <w:rPr>
          <w:rFonts w:ascii="Open Sans" w:hAnsi="Open Sans" w:cs="Open Sans"/>
          <w:i/>
          <w:noProof/>
          <w:szCs w:val="22"/>
          <w:lang w:val="en-GB"/>
        </w:rPr>
        <w:t>et al.</w:t>
      </w:r>
      <w:r w:rsidRPr="002A63BA">
        <w:rPr>
          <w:rFonts w:ascii="Open Sans" w:hAnsi="Open Sans" w:cs="Open Sans"/>
          <w:noProof/>
          <w:szCs w:val="22"/>
          <w:lang w:val="en-GB"/>
        </w:rPr>
        <w:t>, 2019)</w:t>
      </w:r>
      <w:r w:rsidRPr="002A63BA">
        <w:rPr>
          <w:rFonts w:ascii="Open Sans" w:hAnsi="Open Sans" w:cs="Open Sans"/>
          <w:szCs w:val="22"/>
          <w:lang w:val="en-GB"/>
        </w:rPr>
        <w:fldChar w:fldCharType="end"/>
      </w:r>
      <w:r w:rsidRPr="002A63BA">
        <w:rPr>
          <w:rFonts w:ascii="Open Sans" w:hAnsi="Open Sans" w:cs="Open Sans"/>
          <w:szCs w:val="22"/>
          <w:lang w:val="en-GB"/>
        </w:rPr>
        <w:t xml:space="preserve"> consider Ljubljana, Maribor, Koper and Kranj as smart cities (which is approximately 20% of 20 largest Slovenian cities). </w:t>
      </w:r>
    </w:p>
    <w:p w14:paraId="03883330"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rest of the paper consists of 5 chapters. Chapter 2 gives a theoretical background on the IoT domain, IoT platform and criteria used. Chapter 3 shortly introduces the methodology used, while chapter 4 presents the results of the evaluated criteria. Chapters 5 and 6 discuss results and conclude the paper with final remarks, listed limitations and avenues for future research. </w:t>
      </w:r>
    </w:p>
    <w:p w14:paraId="1B205E6E" w14:textId="6A3FB101" w:rsidR="00AE101A" w:rsidRPr="002A63BA" w:rsidRDefault="00AE101A" w:rsidP="005B1A5A">
      <w:pPr>
        <w:pStyle w:val="N1"/>
      </w:pPr>
      <w:r w:rsidRPr="002A63BA">
        <w:t>THEORETICAL BACKGROUND</w:t>
      </w:r>
    </w:p>
    <w:p w14:paraId="43D358F5"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main goal of IoT technologies is to simplify processes in different fields, ensure better efficiency of systems (technologies or specific processes), and improve life quality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author":[{"dropping-particle":"","family":"Nižetić","given":"Sandro","non-dropping-particle":"","parse-names":false,"suffix":""},{"dropping-particle":"","family":"Šolić","given":"Petar","non-dropping-particle":"","parse-names":false,"suffix":""},{"dropping-particle":"","family":"Lopez-de-Ipina Gonzalez-de-Artaza","given":"Diego","non-dropping-particle":"","parse-names":false,"suffix":""},{"dropping-particle":"","family":"Patrono","given":"Luigi","non-dropping-particle":"","parse-names":false,"suffix":""}],"container-title":"Journal of ckeaner production","id":"ITEM-1","issue":"January","issued":{"date-parts":[["2020"]]},"title":"Internet of Things (IoT): Opportunities, issues and challenges towards a smart and sustainable future","type":"article-journal","volume":"274"},"uris":["http://www.mendeley.com/documents/?uuid=c440a92d-8b4d-4491-831a-49632f7e4b5b"]}],"mendeley":{"formattedCitation":"(Nižetić &lt;i&gt;et al.&lt;/i&gt;, 2020)","plainTextFormattedCitation":"(Nižetić et al., 2020)","previouslyFormattedCitation":"(Nižetić &lt;i&gt;et al.&lt;/i&gt;, 2020)"},"properties":{"noteIndex":0},"schema":"https://github.com/citation-style-language/schema/raw/master/csl-citation.json"}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(Nižetić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szCs w:val="22"/>
          <w:lang w:val="en-GB"/>
        </w:rPr>
        <w:fldChar w:fldCharType="end"/>
      </w:r>
      <w:r w:rsidRPr="002A63BA">
        <w:rPr>
          <w:rFonts w:ascii="Open Sans" w:hAnsi="Open Sans" w:cs="Open Sans"/>
          <w:szCs w:val="22"/>
          <w:lang w:val="en-GB"/>
        </w:rPr>
        <w:t>.</w:t>
      </w:r>
    </w:p>
    <w:p w14:paraId="1E089549"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Small sensors implanted in smart items such as electronic devices, alarm systems, cars, home appliances, and industrial machines make up the Internet of Things system, which allows them to communicate with one another and with their surroundings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{"citationItems":[{"id":"ITEM-1","itemData":{"DOI":"10.1002/spe.2469","ISSN":"1097024X","abstract":"The growth of real-world objects with embedded and globally networked sensors allows to consolidate the Internet of things paradigm and increase the number of applications in the domains of ubiquitous and context-aware computing. The merging between cloud computing and Internet of things named cloud of things will be the key to handle thousands of sensors and their data. One of the main challenges in the cloud of things is context-aware sensor search and selection. Typically, sensors require to be searched using two or more conflicting context properties. Most of the existing work uses some kind of multi-criteria decision analysis to perform the sensor search and selection, but does not show any concern for the quality of the selection presented by these methods. In this paper, we analyse the behaviour of the SAW, TOPSIS and VIKOR multi-objective decision methods and their quality of selection comparing them with the Pareto-optimality solutions. The gathered results allow to analyse and compare these algorithms regarding their behaviour, the number of optimal solutions and redundancy. Copyright © 2016 John Wiley &amp; Sons, Ltd.","author":[{"dropping-particle":"","family":"Nunes","given":"Luiz Henrique","non-dropping-particle":"","parse-names":false,"suffix":""},{"dropping-particle":"","family":"Estrella","given":"Julio Cezar","non-dropping-particle":"","parse-names":false,"suffix":""},{"dropping-particle":"","family":"Perera","given":"Charith","non-dropping-particle":"","parse-names":false,"suffix":""},{"dropping-particle":"","family":"Reiff-Marganiec","given":"Stephan","non-dropping-particle":"","parse-names":false,"suffix":""},{"dropping-particle":"","family":"Botazzo Delbem","given":"Alexandre Cláudio","non-dropping-particle":"","parse-names":false,"suffix":""}],"container-title":"Software - Practice and Experience","id":"ITEM-1","issue":"10","issued":{"date-parts":[["2017"]]},"page":"1325-1341","title":"Multi-criteria IoT resource discovery: a comparative analysis","type":"article-journal","volume":"47"},"uris":["http://www.mendeley.com/documents/?uuid=b62ef07f-69c0-448b-81c2-01b2042494dc"]}],"mendeley":{"formattedCitation":"(Nunes &lt;i&gt;et al.&lt;/i&gt;, 2017)","plainTextFormattedCitation":"(Nunes et al., 2017)","previouslyFormattedCitation":"(Nunes &lt;i&gt;et al.&lt;/i&gt;, 2017)"},"properties":{"noteIndex":0},"schema":"https://github.com/citation-style-language/schema/raw/master/csl-citation.json"}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(Nunes </w:t>
      </w:r>
      <w:r w:rsidRPr="002A63BA">
        <w:rPr>
          <w:rFonts w:ascii="Open Sans" w:hAnsi="Open Sans" w:cs="Open Sans"/>
          <w:i/>
          <w:noProof/>
          <w:szCs w:val="22"/>
          <w:lang w:val="en-GB"/>
        </w:rPr>
        <w:t>et al.</w:t>
      </w:r>
      <w:r w:rsidRPr="002A63BA">
        <w:rPr>
          <w:rFonts w:ascii="Open Sans" w:hAnsi="Open Sans" w:cs="Open Sans"/>
          <w:noProof/>
          <w:szCs w:val="22"/>
          <w:lang w:val="en-GB"/>
        </w:rPr>
        <w:t>, 2017)</w:t>
      </w:r>
      <w:r w:rsidRPr="002A63BA">
        <w:rPr>
          <w:rFonts w:ascii="Open Sans" w:hAnsi="Open Sans" w:cs="Open Sans"/>
          <w:szCs w:val="22"/>
          <w:lang w:val="en-GB"/>
        </w:rPr>
        <w:fldChar w:fldCharType="end"/>
      </w:r>
      <w:r w:rsidRPr="002A63BA">
        <w:rPr>
          <w:rFonts w:ascii="Open Sans" w:hAnsi="Open Sans" w:cs="Open Sans"/>
          <w:szCs w:val="22"/>
          <w:lang w:val="en-GB"/>
        </w:rPr>
        <w:t xml:space="preserve">. Because the Internet of Things domain is even more innovative than the Smart City concept itself, the articles on criteria selection are primarily based on a review of existing literature. Technology, market, and laws, for example, have all been studied in the past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S0921-8009(03)00194-0","author":[{"dropping-particle":"","family":"Baumgärtner","given":"Stefan","non-dropping-particle":"","parse-names":false,"suffix":""},{"dropping-particle":"","family":"Winkler","given":"Ralph","non-dropping-particle":"","parse-names":false,"suffix":""}],"container-title":"Ecological Economics","id":"ITEM-1","issued":{"date-parts":[["2003","2","1"]]},"page":"183-195","title":"Markets, technology and environmental regulation: Price ambivalence of waste paper in Germany","type":"article-journal","volume":"47"},"uris":["http://www.mendeley.com/documents/?uuid=5bd47415-626e-4cbc-8bc1-b19b31f6fa8c"]}],"mendeley":{"formattedCitation":"(Baumgärtner and Winkler, 2003)","plainTextFormattedCitation":"(Baumgärtner and Winkler, 2003)","previouslyFormattedCitation":"(Baumgärtner and Winkler, 2003)"},"properties":{"noteIndex":0},"schema":"https://github.com/citation-style-language/schema/raw/master/csl-citation.json"}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(Baumgärtner and Winkler, 2003)</w:t>
      </w:r>
      <w:r w:rsidRPr="002A63BA">
        <w:rPr>
          <w:rFonts w:ascii="Open Sans" w:hAnsi="Open Sans" w:cs="Open Sans"/>
          <w:szCs w:val="22"/>
          <w:lang w:val="en-GB"/>
        </w:rPr>
        <w:fldChar w:fldCharType="end"/>
      </w:r>
      <w:r w:rsidRPr="002A63BA">
        <w:rPr>
          <w:rFonts w:ascii="Open Sans" w:hAnsi="Open Sans" w:cs="Open Sans"/>
          <w:szCs w:val="22"/>
          <w:lang w:val="en-GB"/>
        </w:rPr>
        <w:t xml:space="preserve">. </w:t>
      </w:r>
      <w:r w:rsidRPr="002A63BA">
        <w:rPr>
          <w:rFonts w:ascii="Open Sans" w:hAnsi="Open Sans" w:cs="Open Sans"/>
          <w:szCs w:val="22"/>
          <w:lang w:val="en-GB"/>
        </w:rPr>
        <w:lastRenderedPageBreak/>
        <w:t xml:space="preserve">Furthermore, as the authors point out, there has been minimal research on the interoperability of IoT platforms from a business value perspective, taking into account both technical and non-technical elements as selection criteria for adopting such platforms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{"citationItems":[{"id":"ITEM-1","itemData":{"DOI":"10.4018/IJEIS.2021010105","ISSN":"15481123","abstract":"To deliver more value to customers, companies are striving to offer more digital services, and the internet of things (IOT) is the main enabler to maximize such value. However, one of the major challenges companies are facing is digital service integration with other providers, where IoT platform is playing important role to achieve such integration opening door for interoperability within actors in the IoT ecosystem. There have been a little research addressing IoT platforms interoperability from business value perspective, considering technical and non-technical factors as selection criteria to adopt such platforms. This paper uses a case study as a method. To validate the suggested interoperability criteria, interviews were conducted for IoT platform providers and two things providers. It was observed that considering technical factors alone when selecting IoT platform make companies oversee the value technology add to their business as IoT platform is not only about technology but also about business model in which this platform will be operating and the company position and role in IoT ecosystem. The paper contributes by providing criteria to achieve interoperability for IoT platform from both technical and business aspects.","author":[{"dropping-particle":"","family":"Abdelghaffar","given":"Hany","non-dropping-particle":"","parse-names":false,"suffix":""},{"dropping-particle":"","family":"Abousteit","given":"Mohamed","non-dropping-particle":"","parse-names":false,"suffix":""}],"container-title":"International Journal of Enterprise Information Systems","id":"ITEM-1","issue":"1","issued":{"date-parts":[["2021"]]},"page":"85-105","title":"Internet of Things (IoT) interoperability success criteria","type":"article-journal","volume":"17"},"uris":["http://www.mendeley.com/documents/?uuid=d2df6fc6-cf35-4605-b7d5-b70423e769e6"]}],"mendeley":{"formattedCitation":"(Abdelghaffar and Abousteit, 2021)","plainTextFormattedCitation":"(Abdelghaffar and Abousteit, 2021)","previouslyFormattedCitation":"(Abdelghaffar and Abousteit, 2021)"},"properties":{"noteIndex":0},"schema":"https://github.com/citation-style-language/schema/raw/master/csl-citation.json"}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(Abdelghaffar and Abousteit, 2021)</w:t>
      </w:r>
      <w:r w:rsidRPr="002A63BA">
        <w:rPr>
          <w:rFonts w:ascii="Open Sans" w:hAnsi="Open Sans" w:cs="Open Sans"/>
          <w:szCs w:val="22"/>
          <w:lang w:val="en-GB"/>
        </w:rPr>
        <w:fldChar w:fldCharType="end"/>
      </w:r>
      <w:r w:rsidRPr="002A63BA">
        <w:rPr>
          <w:rFonts w:ascii="Open Sans" w:hAnsi="Open Sans" w:cs="Open Sans"/>
          <w:szCs w:val="22"/>
          <w:lang w:val="en-GB"/>
        </w:rPr>
        <w:t>.</w:t>
      </w:r>
    </w:p>
    <w:p w14:paraId="4A53C2AC"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Other authors have presented a multi-criteria approach using three main criteria for IoT applications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Korea","type":"article-journal","volume":"102"},"uris":["http://www.mendeley.com/documents/?uuid=68f81295-d570-4ba6-a5fe-8c9a274a0581"]}],"mendeley":{"formattedCitation":"(Kim and Kim, 2016)","plainTextFormattedCitation":"(Kim and Kim, 2016)","previouslyFormattedCitation":"(Kim and Kim, 2016)"},"properties":{"noteIndex":0},"schema":"https://github.com/citation-style-language/schema/raw/master/csl-citation.json"}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(Kim and Kim, 2016)</w:t>
      </w:r>
      <w:r w:rsidRPr="002A63BA">
        <w:rPr>
          <w:rFonts w:ascii="Open Sans" w:hAnsi="Open Sans" w:cs="Open Sans"/>
          <w:szCs w:val="22"/>
          <w:lang w:val="en-GB"/>
        </w:rPr>
        <w:fldChar w:fldCharType="end"/>
      </w:r>
      <w:r w:rsidRPr="002A63BA">
        <w:rPr>
          <w:rFonts w:ascii="Open Sans" w:hAnsi="Open Sans" w:cs="Open Sans"/>
          <w:szCs w:val="22"/>
          <w:lang w:val="en-GB"/>
        </w:rPr>
        <w:t xml:space="preserve">: (1) technological prospect, (2) market potential and (3) regulatory environment. The recent paper points out that smart objects differ in their technical specifications due to their variations in design and features; thus, specific subcriteria can also be derived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Society","id":"ITEM-1","issue":"October 2019","issued":{"date-parts":[["2020"]]},"page":"101216","publisher":"Elsevier Ltd","title":"A multi-criteria analysis for an internet of things application recommendation system","type":"article-journal","volume":"60"},"uris":["http://www.mendeley.com/documents/?uuid=494cebf4-8679-46c0-806c-09d3c14188a8"]}],"mendeley":{"formattedCitation":"(Mashal, Alsaryrah and Chung, 2020)","plainTextFormattedCitation":"(Mashal, Alsaryrah and Chung, 2020)","previouslyFormattedCitation":"(Mashal, Alsaryrah and Chung, 2020)"},"properties":{"noteIndex":0},"schema":"https://github.com/citation-style-language/schema/raw/master/csl-citation.json"}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(Mashal, Alsaryrah and Chung, 2020)</w:t>
      </w:r>
      <w:r w:rsidRPr="002A63BA">
        <w:rPr>
          <w:rFonts w:ascii="Open Sans" w:hAnsi="Open Sans" w:cs="Open Sans"/>
          <w:szCs w:val="22"/>
          <w:lang w:val="en-GB"/>
        </w:rPr>
        <w:fldChar w:fldCharType="end"/>
      </w:r>
      <w:r w:rsidRPr="002A63BA">
        <w:rPr>
          <w:rFonts w:ascii="Open Sans" w:hAnsi="Open Sans" w:cs="Open Sans"/>
          <w:szCs w:val="22"/>
          <w:lang w:val="en-GB"/>
        </w:rPr>
        <w:t xml:space="preserve">. </w:t>
      </w:r>
    </w:p>
    <w:p w14:paraId="0A602052" w14:textId="77777777" w:rsidR="00AE101A" w:rsidRPr="002A63BA" w:rsidRDefault="00AE101A" w:rsidP="005B1A5A">
      <w:pPr>
        <w:pStyle w:val="SORtekst"/>
        <w:spacing w:after="240" w:line="276" w:lineRule="auto"/>
        <w:rPr>
          <w:rFonts w:ascii="Open Sans" w:hAnsi="Open Sans" w:cs="Open Sans"/>
          <w:szCs w:val="22"/>
          <w:lang w:val="en-GB"/>
        </w:rPr>
      </w:pPr>
      <w:r w:rsidRPr="002A63BA">
        <w:rPr>
          <w:rFonts w:ascii="Open Sans" w:hAnsi="Open Sans" w:cs="Open Sans"/>
          <w:szCs w:val="22"/>
          <w:lang w:val="en-GB"/>
        </w:rPr>
        <w:t xml:space="preserve">Their conclusions may be constrained from a methodological standpoint because they rely on respondents who are primarily experts with ICT backgrounds. Furthermore, several authors have offered a systematic framework for evaluating IoT, although empirical research is lacking in the literature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{"citationItems":[{"id":"ITEM-1","itemData":{"DOI":"10.1007/978-3-319-56077-9_10","ISBN":"9783319560762","ISSN":"18684238","abstract":"The Internet-of-Things (IoT) is today a reality, and Smart Systems have taken advantage of this to improve its own sense, act and control capabilities. IoT is a highly heterogeneous environment composed by a vast number of “things” (sensors, smart objects, etc.). These “things” are based on hardware platforms which can differ widely since manufactures are being capable of develop new devices every day to tackle different application domains. Consequently, a problem emerges regarding which will be the suitable, proper hardware solution for an IoT deployment. Make a right decision is probably one of the toughest challenges for science and technology managers. This work proposes a novel methodology to analyze a set of hardware alternatives based on user’s multi-criteria requirements, and advice on the more suitable hardware solution for a specific situation. For proof-of-concept it is used different Arduino boards as hardware alternatives, in which user requirements are based on hardware features. This methodology foresees its use during the development of Smart Systems (e.g.: Transportation, Healthcare) to optimize the selection of hardware platforms.","author":[{"dropping-particle":"","family":"Silva","given":"Edgar M.","non-dropping-particle":"","parse-names":false,"suffix":""},{"dropping-particle":"","family":"Jardim-Goncalves","given":"Ricardo","non-dropping-particle":"","parse-names":false,"suffix":""}],"container-title":"IFIP Advances in Information and Communication Technology","id":"ITEM-1","issued":{"date-parts":[["2017"]]},"page":"111-121","title":"Multi-criteria analysis and decision methodology for the selection of Internet-of-Things hardware platforms","type":"article-journal","volume":"499"},"uris":["http://www.mendeley.com/documents/?uuid=05e649bb-cf8c-40d6-8b1d-2f982e4f5621"]}],"mendeley":{"formattedCitation":"(Silva and Jardim-Goncalves, 2017)","plainTextFormattedCitation":"(Silva and Jardim-Goncalves, 2017)","previouslyFormattedCitation":"(Silva and Jardim-Goncalves, 2017)"},"properties":{"noteIndex":0},"schema":"https://github.com/citation-style-language/schema/raw/master/csl-citation.json"}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(Silva and Jardim-Goncalves, 2017)</w:t>
      </w:r>
      <w:r w:rsidRPr="002A63BA">
        <w:rPr>
          <w:rFonts w:ascii="Open Sans" w:hAnsi="Open Sans" w:cs="Open Sans"/>
          <w:szCs w:val="22"/>
          <w:lang w:val="en-GB"/>
        </w:rPr>
        <w:fldChar w:fldCharType="end"/>
      </w:r>
      <w:r w:rsidRPr="002A63BA">
        <w:rPr>
          <w:rFonts w:ascii="Open Sans" w:hAnsi="Open Sans" w:cs="Open Sans"/>
          <w:szCs w:val="22"/>
          <w:lang w:val="en-GB"/>
        </w:rPr>
        <w:t xml:space="preserve">. Literature review analysis confirmed that different criteria could be found depending on the type of technology (e.g., database, cloud, etc.). Even though </w:t>
      </w:r>
      <w:r w:rsidRPr="002A63BA">
        <w:rPr>
          <w:rFonts w:ascii="Open Sans" w:hAnsi="Open Sans" w:cs="Open Sans"/>
          <w:i/>
          <w:szCs w:val="22"/>
          <w:lang w:val="en-GB"/>
        </w:rPr>
        <w:t>interoperability</w:t>
      </w:r>
      <w:r w:rsidRPr="002A63BA">
        <w:rPr>
          <w:rFonts w:ascii="Open Sans" w:hAnsi="Open Sans" w:cs="Open Sans"/>
          <w:szCs w:val="22"/>
          <w:lang w:val="en-GB"/>
        </w:rPr>
        <w:t xml:space="preserve"> as criterion is especially highlighted when considering the selection of smart objects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Society","id":"ITEM-1","issue":"October 2019","issued":{"date-parts":[["2020"]]},"page":"101216","publisher":"Elsevier Ltd","title":"A multi-criteria analysis for an internet of things application recommendation system","type":"article-journal","volume":"60"},"uris":["http://www.mendeley.com/documents/?uuid=494cebf4-8679-46c0-806c-09d3c14188a8"]}],"mendeley":{"formattedCitation":"(Mashal, Alsaryrah and Chung, 2020)","plainTextFormattedCitation":"(Mashal, Alsaryrah and Chung, 2020)","previouslyFormattedCitation":"(Mashal, Alsaryrah and Chung, 2020)"},"properties":{"noteIndex":0},"schema":"https://github.com/citation-style-language/schema/raw/master/csl-citation.json"}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(Mashal, Alsaryrah and Chung, 2020)</w:t>
      </w:r>
      <w:r w:rsidRPr="002A63BA">
        <w:rPr>
          <w:rFonts w:ascii="Open Sans" w:hAnsi="Open Sans" w:cs="Open Sans"/>
          <w:szCs w:val="22"/>
          <w:lang w:val="en-GB"/>
        </w:rPr>
        <w:fldChar w:fldCharType="end"/>
      </w:r>
      <w:r w:rsidRPr="002A63BA">
        <w:rPr>
          <w:rFonts w:ascii="Open Sans" w:hAnsi="Open Sans" w:cs="Open Sans"/>
          <w:szCs w:val="22"/>
          <w:lang w:val="en-GB"/>
        </w:rPr>
        <w:t xml:space="preserve">; however, it could be considered within the criteria of </w:t>
      </w:r>
      <w:r w:rsidRPr="002A63BA">
        <w:rPr>
          <w:rFonts w:ascii="Open Sans" w:hAnsi="Open Sans" w:cs="Open Sans"/>
          <w:i/>
          <w:szCs w:val="22"/>
          <w:lang w:val="en-GB"/>
        </w:rPr>
        <w:t>integration flexibility</w:t>
      </w:r>
      <w:r w:rsidRPr="002A63BA">
        <w:rPr>
          <w:rFonts w:ascii="Open Sans" w:hAnsi="Open Sans" w:cs="Open Sans"/>
          <w:szCs w:val="22"/>
          <w:lang w:val="en-GB"/>
        </w:rPr>
        <w:t xml:space="preserve"> and </w:t>
      </w:r>
      <w:r w:rsidRPr="002A63BA">
        <w:rPr>
          <w:rFonts w:ascii="Open Sans" w:hAnsi="Open Sans" w:cs="Open Sans"/>
          <w:i/>
          <w:szCs w:val="22"/>
          <w:lang w:val="en-GB"/>
        </w:rPr>
        <w:t>standardization</w:t>
      </w:r>
      <w:r w:rsidRPr="002A63BA">
        <w:rPr>
          <w:rFonts w:ascii="Open Sans" w:hAnsi="Open Sans" w:cs="Open Sans"/>
          <w:szCs w:val="22"/>
          <w:lang w:val="en-GB"/>
        </w:rPr>
        <w:t>. The list of criteria, information about the IoT domain and authors who investigated the criteria are summed in Table 1.</w:t>
      </w:r>
    </w:p>
    <w:p w14:paraId="24C4A97B" w14:textId="77777777" w:rsidR="00AE101A" w:rsidRPr="005B1A5A" w:rsidRDefault="00AE101A" w:rsidP="00FF3EE4">
      <w:pPr>
        <w:pStyle w:val="Opisslike"/>
        <w:keepNext/>
        <w:spacing w:line="276" w:lineRule="auto"/>
        <w:rPr>
          <w:rFonts w:ascii="Open Sans" w:hAnsi="Open Sans" w:cs="Open Sans"/>
          <w:i w:val="0"/>
          <w:iCs w:val="0"/>
          <w:sz w:val="22"/>
          <w:szCs w:val="22"/>
        </w:rPr>
      </w:pPr>
      <w:r w:rsidRPr="005B1A5A">
        <w:rPr>
          <w:rFonts w:ascii="Open Sans" w:hAnsi="Open Sans" w:cs="Open Sans"/>
          <w:i w:val="0"/>
          <w:iCs w:val="0"/>
          <w:sz w:val="22"/>
          <w:szCs w:val="22"/>
        </w:rPr>
        <w:t xml:space="preserve">Table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Table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1</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 IoT selection criteria</w:t>
      </w:r>
    </w:p>
    <w:tbl>
      <w:tblPr>
        <w:tblStyle w:val="Reetkatablice"/>
        <w:tblW w:w="0" w:type="auto"/>
        <w:jc w:val="center"/>
        <w:tblLook w:val="04A0" w:firstRow="1" w:lastRow="0" w:firstColumn="1" w:lastColumn="0" w:noHBand="0" w:noVBand="1"/>
      </w:tblPr>
      <w:tblGrid>
        <w:gridCol w:w="2764"/>
        <w:gridCol w:w="4664"/>
      </w:tblGrid>
      <w:tr w:rsidR="00AE101A" w:rsidRPr="002A63BA" w14:paraId="11847EFB" w14:textId="77777777" w:rsidTr="005B1A5A">
        <w:trPr>
          <w:jc w:val="center"/>
        </w:trPr>
        <w:tc>
          <w:tcPr>
            <w:tcW w:w="0" w:type="auto"/>
            <w:vAlign w:val="center"/>
          </w:tcPr>
          <w:p w14:paraId="27A6964C"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Criteria</w:t>
            </w:r>
          </w:p>
        </w:tc>
        <w:tc>
          <w:tcPr>
            <w:tcW w:w="0" w:type="auto"/>
            <w:vAlign w:val="center"/>
          </w:tcPr>
          <w:p w14:paraId="3CE0A771"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Authors</w:t>
            </w:r>
          </w:p>
        </w:tc>
      </w:tr>
      <w:tr w:rsidR="00AE101A" w:rsidRPr="002A63BA" w14:paraId="4557FD10" w14:textId="77777777" w:rsidTr="005B1A5A">
        <w:trPr>
          <w:jc w:val="center"/>
        </w:trPr>
        <w:tc>
          <w:tcPr>
            <w:tcW w:w="0" w:type="auto"/>
            <w:vAlign w:val="center"/>
          </w:tcPr>
          <w:p w14:paraId="2308305D"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Platform reliability</w:t>
            </w:r>
          </w:p>
        </w:tc>
        <w:tc>
          <w:tcPr>
            <w:tcW w:w="0" w:type="auto"/>
            <w:vAlign w:val="center"/>
          </w:tcPr>
          <w:p w14:paraId="0C3416B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Korea","type":"article-journal","volume":"102"},"uris":["http://www.mendeley.com/documents/?uuid=68f81295-d570-4ba6-a5fe-8c9a274a0581"]},{"id":"ITEM-2","itemData":{"DOI":"10.1007/978-3-319-97885-7_8","ISBN":"9783319978840","ISSN":"21945357","abstract":"The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Computing","id":"ITEM-2","issued":{"date-parts":[["2019"]]},"number-of-pages":"71-80","title":"Multi-criteria decision making and soft computing for the selection of specialized IoT platform","type":"book","volume":"836"},"uris":["http://www.mendeley.com/documents/?uuid=6a13fefb-482e-41b5-ac35-a5bc00997b1d"]},{"id":"ITEM-3","itemData":{"DOI":"10.1016/j.techsoc.2019.101216","ISSN":"0160791X","abstract":"Various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Society","id":"ITEM-3","issue":"October 2019","issued":{"date-parts":[["2020"]]},"page":"101216","publisher":"Elsevier Ltd","title":"A multi-criteria analysis for an internet of things application recommendation system","type":"article-journal","volume":"60"},"uris":["http://www.mendeley.com/documents/?uuid=494cebf4-8679-46c0-806c-09d3c14188a8"]}],"mendeley":{"formattedCitation":"(Kim and Kim, 2016; Kondratenko, Kondratenko and Sidenko, 2019; Mashal, Alsaryrah and Chung, 2020)","plainTextFormattedCitation":"(Kim and Kim, 2016; Kondratenko, Kondratenko and Sidenko, 2019; Mashal, Alsaryrah and Chung, 2020)","previouslyFormattedCitation":"(Kim and Kim, 2016; Kondratenko, Kondratenko and Sidenko, 2019; Mashal, Alsaryrah and Chung,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(Kim and Kim, 2016; Kondratenko, Kondratenko and Sidenko, 2019; Mashal, Alsaryrah and Chung, 2020)</w:t>
            </w:r>
            <w:r w:rsidRPr="002A63BA">
              <w:rPr>
                <w:rFonts w:ascii="Open Sans" w:hAnsi="Open Sans" w:cs="Open Sans"/>
                <w:noProof/>
                <w:szCs w:val="22"/>
                <w:lang w:val="en-GB"/>
              </w:rPr>
              <w:fldChar w:fldCharType="end"/>
            </w:r>
            <w:r w:rsidRPr="002A63BA">
              <w:rPr>
                <w:rFonts w:ascii="Open Sans" w:hAnsi="Open Sans" w:cs="Open Sans"/>
                <w:noProof/>
                <w:szCs w:val="22"/>
                <w:lang w:val="en-GB"/>
              </w:rPr>
              <w:t xml:space="preserve"> </w:t>
            </w:r>
          </w:p>
        </w:tc>
      </w:tr>
      <w:tr w:rsidR="00AE101A" w:rsidRPr="002A63BA" w14:paraId="0D5EB060" w14:textId="77777777" w:rsidTr="005B1A5A">
        <w:trPr>
          <w:jc w:val="center"/>
        </w:trPr>
        <w:tc>
          <w:tcPr>
            <w:tcW w:w="0" w:type="auto"/>
            <w:vAlign w:val="center"/>
          </w:tcPr>
          <w:p w14:paraId="5B942A7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Platform price</w:t>
            </w:r>
          </w:p>
        </w:tc>
        <w:tc>
          <w:tcPr>
            <w:tcW w:w="0" w:type="auto"/>
            <w:vAlign w:val="center"/>
          </w:tcPr>
          <w:p w14:paraId="5E2D5D3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Korea","type":"article-journal","volume":"102"},"uris":["http://www.mendeley.com/documents/?uuid=68f81295-d570-4ba6-a5fe-8c9a274a0581"]},{"id":"ITEM-2","itemData":{"DOI":"10.1109/JIOT.2020.2997133","ISSN":"23274662","abstract":"Evaluating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Journal","id":"ITEM-2","issue":"11","issued":{"date-parts":[["2020"]]},"page":"11195-11208","title":"Evaluating IoT Platforms Using Integrated Probabilistic Linguistic MCDM Method","type":"article-journal","volume":"7"},"uris":["http://www.mendeley.com/documents/?uuid=bfb9b006-1e72-489c-8313-20640efdbfb7"]},{"id":"ITEM-3","itemData":{"DOI":"10.1007/978-3-319-70688-7_3","ISBN":"9783319706887","ISSN":"23674520","abstract":"Internet of Things (IoT) is a heterogeneous ubiquitous network based upon modern computational intelligent techniques. A large scale IoT environment composed of thousands distributed entities and a number of multimedia smart devices. In recent years, due to the improvement of popularity and capability of smart mobile devices, Mobile Cloud Computing (MCC) gains a considerable attention in Internet of Things (IoT) environment. As there are variety of clouds that provides same services, it becomes quite difficult for users to choose an ideal cloud from a variety of clouds for migrating computationally intensive applications. So, selecting the optimal cloud among multiple alternatives which saves resource availability and execution time is a Multi-Criteria Decision Making (MCDM) issue. This chapter introduces an assessment model based on Fuzzy Analytic Hierarchy Process (FAHP) and Fuzzy Technique for Order Preference by Similarity to Ideal Solution (FTOPSIS) which helps the users to select an optimal cloud where uncertainty and subjectivity are parameterized using triangular fuzzy members and is handled by using linguistic values. The proposed computational intelligence decision making model enables decision makers to better understand the whole evaluation process and thus provides more accuracy, systematic and efficient decision support tool.","author":[{"dropping-particle":"","family":"Singla","given":"Chinu","non-dropping-particle":"","parse-names":false,"suffix":""},{"dropping-particle":"","family":"Mahajan","given":"Nitish","non-dropping-particle":"","parse-names":false,"suffix":""},{"dropping-particle":"","family":"Kaushal","given":"Sakshi","non-dropping-particle":"","parse-names":false,"suffix":""},{"dropping-particle":"","family":"Verma","given":"Amandeep","non-dropping-particle":"","parse-names":false,"suffix":""},{"dropping-particle":"","family":"Sangaiah","given":"Arun Kumar","non-dropping-particle":"","parse-names":false,"suffix":""}],"container-title":"Lecture Notes on Data Engineering and Communications Technologies","id":"ITEM-3","issued":{"date-parts":[["2018"]]},"page":"63-77","title":"Modelling and analysis of multi-objective service selection scheme in iot-cloud environment","type":"article-journal","volume":"14"},"uris":["http://www.mendeley.com/documents/?uuid=7494ce21-2695-4aa7-88ee-b438054cc538"]}],"mendeley":{"formattedCitation":"(Kim and Kim, 2016; Singla &lt;i&gt;et al.&lt;/i&gt;, 2018; Lin &lt;i&gt;et al.&lt;/i&gt;, 2020)","plainTextFormattedCitation":"(Kim and Kim, 2016; Singla et al., 2018; Lin et al., 2020)","previouslyFormattedCitation":"(Kim and Kim, 2016; Singla &lt;i&gt;et al.&lt;/i&gt;, 2018; 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(Kim and Kim, 2016; Singla </w:t>
            </w:r>
            <w:r w:rsidRPr="002A63BA">
              <w:rPr>
                <w:rFonts w:ascii="Open Sans" w:hAnsi="Open Sans" w:cs="Open Sans"/>
                <w:i/>
                <w:noProof/>
                <w:szCs w:val="22"/>
                <w:lang w:val="en-GB"/>
              </w:rPr>
              <w:t>et al.</w:t>
            </w:r>
            <w:r w:rsidRPr="002A63BA">
              <w:rPr>
                <w:rFonts w:ascii="Open Sans" w:hAnsi="Open Sans" w:cs="Open Sans"/>
                <w:noProof/>
                <w:szCs w:val="22"/>
                <w:lang w:val="en-GB"/>
              </w:rPr>
              <w:t xml:space="preserve">, 2018; 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4578815D" w14:textId="77777777" w:rsidTr="005B1A5A">
        <w:trPr>
          <w:jc w:val="center"/>
        </w:trPr>
        <w:tc>
          <w:tcPr>
            <w:tcW w:w="0" w:type="auto"/>
            <w:vAlign w:val="center"/>
          </w:tcPr>
          <w:p w14:paraId="04A103B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 xml:space="preserve">Standardization </w:t>
            </w:r>
          </w:p>
        </w:tc>
        <w:tc>
          <w:tcPr>
            <w:tcW w:w="0" w:type="auto"/>
            <w:vAlign w:val="center"/>
          </w:tcPr>
          <w:p w14:paraId="3018E0E5"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Change","id":"ITEM-1","issued":{"date-parts":[["2016"]]},"page":"143-155","publisher":"Elsevier Inc.","title":"A multi-criteria approach toward discovering killer IoT application in Korea","type":"article-journal","volume":"102"},"uris":["http://www.mendeley.com/documents/?uuid=68f81295-d570-4ba6-a5fe-8c9a274a0581"]}],"mendeley":{"formattedCitation":"(Kim and Kim, 2016)","plainTextFormattedCitation":"(Kim and Kim, 2016)","previouslyFormattedCitation":"(Kim and Kim, 2016)"},"properties":{"noteIndex":0},"schema":"https://github.com/citation-style-language/schema/raw/master/csl-citation.json"}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(Kim and Kim, 2016)</w:t>
            </w:r>
            <w:r w:rsidRPr="002A63BA">
              <w:rPr>
                <w:rFonts w:ascii="Open Sans" w:hAnsi="Open Sans" w:cs="Open Sans"/>
                <w:noProof/>
                <w:szCs w:val="22"/>
                <w:lang w:val="en-GB"/>
              </w:rPr>
              <w:fldChar w:fldCharType="end"/>
            </w:r>
          </w:p>
        </w:tc>
      </w:tr>
      <w:tr w:rsidR="00AE101A" w:rsidRPr="002A63BA" w14:paraId="2C49C89A" w14:textId="77777777" w:rsidTr="005B1A5A">
        <w:trPr>
          <w:jc w:val="center"/>
        </w:trPr>
        <w:tc>
          <w:tcPr>
            <w:tcW w:w="0" w:type="auto"/>
            <w:vAlign w:val="center"/>
          </w:tcPr>
          <w:p w14:paraId="3B07B44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lastRenderedPageBreak/>
              <w:t>Platform scalability</w:t>
            </w:r>
          </w:p>
        </w:tc>
        <w:tc>
          <w:tcPr>
            <w:tcW w:w="0" w:type="auto"/>
            <w:vAlign w:val="center"/>
          </w:tcPr>
          <w:p w14:paraId="319B424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Method","type":"article-journal","volume":"7"},"uris":["http://www.mendeley.com/documents/?uuid=bfb9b006-1e72-489c-8313-20640efdbfb7"]}],"mendeley":{"formattedCitation":"(Lin &lt;i&gt;et al.&lt;/i&gt;, 2020)","plainTextFormattedCitation":"(Lin et al., 2020)","previouslyFormattedCitation":"(Lin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7B424819" w14:textId="77777777" w:rsidTr="005B1A5A">
        <w:trPr>
          <w:jc w:val="center"/>
        </w:trPr>
        <w:tc>
          <w:tcPr>
            <w:tcW w:w="0" w:type="auto"/>
            <w:vAlign w:val="center"/>
          </w:tcPr>
          <w:p w14:paraId="25A181A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Platform security</w:t>
            </w:r>
          </w:p>
        </w:tc>
        <w:tc>
          <w:tcPr>
            <w:tcW w:w="0" w:type="auto"/>
            <w:vAlign w:val="center"/>
          </w:tcPr>
          <w:p w14:paraId="3FF6D47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Computing","id":"ITEM-2","issued":{"date-parts":[["2019"]]},"number-of-pages":"71-80","title":"Multi-criteria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 Lin &lt;i&gt;et al.&lt;/i&gt;, 2020)","plainTextFormattedCitation":"(Kondratenko, Kondratenko and Sidenko, 2019; Lin et al., 2020)","previouslyFormattedCitation":"(Kondratenko, Kondratenko and Sidenko, 2019; 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(Kondratenko, Kondratenko and Sidenko, 2019; 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221FCE20" w14:textId="77777777" w:rsidTr="005B1A5A">
        <w:trPr>
          <w:jc w:val="center"/>
        </w:trPr>
        <w:tc>
          <w:tcPr>
            <w:tcW w:w="0" w:type="auto"/>
            <w:vAlign w:val="center"/>
          </w:tcPr>
          <w:p w14:paraId="38D4E9F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Platform usability</w:t>
            </w:r>
          </w:p>
        </w:tc>
        <w:tc>
          <w:tcPr>
            <w:tcW w:w="0" w:type="auto"/>
            <w:vAlign w:val="center"/>
          </w:tcPr>
          <w:p w14:paraId="5B21289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Method","type":"article-journal","volume":"7"},"uris":["http://www.mendeley.com/documents/?uuid=bfb9b006-1e72-489c-8313-20640efdbfb7"]},{"id":"ITEM-2","itemData":{"DOI":"10.1016/j.jpdc.2018.10.008","ISSN":"07437315","abstract":"Decision-making is not a trivial process. It involves studying and analyzing different alternatives. In addition, it requires defining criteria for evaluating the alternatives. A problem arises when evaluating criteria that conflict or when dealing with qualitative criteria. The analytic hierarchy process (AHP) is a multi-criteria decision tool that simplifies the decision-making process. It can evaluate both qualitative and quantitative criteria. Moreover, AHP justifies the final decision by providing the mathematical reasoning behind the judgment. The aim of this research is to evaluate available Internet of Things (IoT) databases in an edge/cloud platform by applying AHP and to suggest a suitable approach for developing a database application. In this study, four alternative database development tools are evaluated: DaDaBIK, DataFlex, Oracle Application Express, and FileMaker. We define our criteria, explain why they are selected, and assign each a weight based on its importance. We then evaluate the candidates using the weighted criteria. FileMaker is found to be the best choice because it offers the best usability, portability, and supportability for IoT scenarios.","author":[{"dropping-particle":"","family":"Alelaiwi","given":"Abdulhameed","non-dropping-particle":"","parse-names":false,"suffix":""}],"container-title":"Journal of Parallel and Distributed Computing","id":"ITEM-2","issued":{"date-parts":[["2019"]]},"page":"41-46","publisher":"Elsevier Inc.","title":"Evaluating distributed IoT databases for edge/cloud platforms using the analytic hierarchy process","type":"article-journal","volume":"124"},"uris":["http://www.mendeley.com/documents/?uuid=6e6f4d7c-b955-4468-b1db-65cea4108f76"]},{"id":"ITEM-3","itemData":{"DOI":"10.5815/ijitcs.2016.12.02","ISSN":"20749007","abstract":"The field of usability, user experience (UX) design and human-computer interaction (HCI) arose in the realm of desktop computers and applications. The current experience in computing has radically evolved into ubiquitous computing over the preceding years. Interactions these days take place on different devices: mobile phones, e-readers and smart TVs, amid numerous smart devices. The use of one service across multiple devices is, at present, common with different form factors. Academic researchers are still trying to figure out the best design techniques for new devices and experiences. The Internet of Things (IoT) is growing, with an ever wider range of daily objects acquiring connectivity, sensing ability and increased computing power. Designing for IoT raises a lot of challenges; the obvious difference being the much wider variety of device form factors. IoT is still a technically driven field, thus the usability of many of IoT products is, in some way, of the level anticipated of mature consumer products. This study focuses on proposing a usability evaluation criterion for the generic IoT architecture and essential technological components.","author":[{"dropping-particle":"","family":"Thomas","given":"Michael Onuoha","non-dropping-particle":"","parse-names":false,"suffix":""},{"dropping-particle":"","family":"Onyimbo","given":"Beverly Amunga","non-dropping-particle":"","parse-names":false,"suffix":""},{"dropping-particle":"","family":"Logeswaran","given":"Rajasvaran","non-dropping-particle":"","parse-names":false,"suffix":""}],"container-title":"International Journal of Information Technology and Computer Science","id":"ITEM-3","issue":"12","issued":{"date-parts":[["2016"]]},"page":"10-18","title":"Usability Evaluation Criteria for Internet of Things","type":"article-journal","volume":"8"},"uris":["http://www.mendeley.com/documents/?uuid=ba7a1c0e-a521-48a8-915d-116dc10d913a"]},{"id":"ITEM-4","itemData":{"DOI":"10.1016/j.techsoc.2019.101216","ISSN":"0160791X","abstract":"Various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Society","id":"ITEM-4","issue":"October 2019","issued":{"date-parts":[["2020"]]},"page":"101216","publisher":"Elsevier Ltd","title":"A multi-criteria analysis for an internet of things application recommendation system","type":"article-journal","volume":"60"},"uris":["http://www.mendeley.com/documents/?uuid=494cebf4-8679-46c0-806c-09d3c14188a8"]}],"mendeley":{"formattedCitation":"(Thomas, Onyimbo and Logeswaran, 2016; Alelaiwi, 2019; Lin &lt;i&gt;et al.&lt;/i&gt;, 2020; Mashal, Alsaryrah and Chung, 2020)","plainTextFormattedCitation":"(Thomas, Onyimbo and Logeswaran, 2016; Alelaiwi, 2019; Lin et al., 2020; Mashal, Alsaryrah and Chung, 2020)","previouslyFormattedCitation":"(Thomas, Onyimbo and Logeswaran, 2016; Alelaiwi, 2019; Lin &lt;i&gt;et al.&lt;/i&gt;, 2020; Mashal, Alsaryrah and Chung,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(Thomas, Onyimbo and Logeswaran, 2016; Alelaiwi, 2019; Lin </w:t>
            </w:r>
            <w:r w:rsidRPr="002A63BA">
              <w:rPr>
                <w:rFonts w:ascii="Open Sans" w:hAnsi="Open Sans" w:cs="Open Sans"/>
                <w:i/>
                <w:noProof/>
                <w:szCs w:val="22"/>
                <w:lang w:val="en-GB"/>
              </w:rPr>
              <w:t>et al.</w:t>
            </w:r>
            <w:r w:rsidRPr="002A63BA">
              <w:rPr>
                <w:rFonts w:ascii="Open Sans" w:hAnsi="Open Sans" w:cs="Open Sans"/>
                <w:noProof/>
                <w:szCs w:val="22"/>
                <w:lang w:val="en-GB"/>
              </w:rPr>
              <w:t>, 2020; Mashal, Alsaryrah and Chung, 2020)</w:t>
            </w:r>
            <w:r w:rsidRPr="002A63BA">
              <w:rPr>
                <w:rFonts w:ascii="Open Sans" w:hAnsi="Open Sans" w:cs="Open Sans"/>
                <w:noProof/>
                <w:szCs w:val="22"/>
                <w:lang w:val="en-GB"/>
              </w:rPr>
              <w:fldChar w:fldCharType="end"/>
            </w:r>
          </w:p>
        </w:tc>
      </w:tr>
      <w:tr w:rsidR="00AE101A" w:rsidRPr="002A63BA" w14:paraId="45EFEF96" w14:textId="77777777" w:rsidTr="005B1A5A">
        <w:trPr>
          <w:jc w:val="center"/>
        </w:trPr>
        <w:tc>
          <w:tcPr>
            <w:tcW w:w="0" w:type="auto"/>
            <w:vAlign w:val="center"/>
          </w:tcPr>
          <w:p w14:paraId="3933793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Integration Flexibility</w:t>
            </w:r>
          </w:p>
        </w:tc>
        <w:tc>
          <w:tcPr>
            <w:tcW w:w="0" w:type="auto"/>
            <w:vAlign w:val="center"/>
          </w:tcPr>
          <w:p w14:paraId="06BE19C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Computing","id":"ITEM-2","issued":{"date-parts":[["2019"]]},"number-of-pages":"71-80","title":"Multi-criteria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 Lin &lt;i&gt;et al.&lt;/i&gt;, 2020)","plainTextFormattedCitation":"(Kondratenko, Kondratenko and Sidenko, 2019; Lin et al., 2020)","previouslyFormattedCitation":"(Kondratenko, Kondratenko and Sidenko, 2019; 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(Kondratenko, Kondratenko and Sidenko, 2019; 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4696CEFB" w14:textId="77777777" w:rsidTr="005B1A5A">
        <w:trPr>
          <w:jc w:val="center"/>
        </w:trPr>
        <w:tc>
          <w:tcPr>
            <w:tcW w:w="0" w:type="auto"/>
            <w:vAlign w:val="center"/>
          </w:tcPr>
          <w:p w14:paraId="20C736D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availability</w:t>
            </w:r>
          </w:p>
        </w:tc>
        <w:tc>
          <w:tcPr>
            <w:tcW w:w="0" w:type="auto"/>
            <w:vAlign w:val="center"/>
          </w:tcPr>
          <w:p w14:paraId="158FBEC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Method","type":"article-journal","volume":"7"},"uris":["http://www.mendeley.com/documents/?uuid=bfb9b006-1e72-489c-8313-20640efdbfb7"]},{"id":"ITEM-2","itemData":{"DOI":"10.1007/978-3-319-70688-7_3","ISBN":"9783319706887","ISSN":"23674520","abstract":"Internet of Things (IoT) is a heterogeneous ubiquitous network based upon modern computational intelligent techniques. A large scale IoT environment composed of thousands distributed entities and a number of multimedia smart devices. In recent years, due to the improvement of popularity and capability of smart mobile devices, Mobile Cloud Computing (MCC) gains a considerable attention in Internet of Things (IoT) environment. As there are variety of clouds that provides same services, it becomes quite difficult for users to choose an ideal cloud from a variety of clouds for migrating computationally intensive applications. So, selecting the optimal cloud among multiple alternatives which saves resource availability and execution time is a Multi-Criteria Decision Making (MCDM) issue. This chapter introduces an assessment model based on Fuzzy Analytic Hierarchy Process (FAHP) and Fuzzy Technique for Order Preference by Similarity to Ideal Solution (FTOPSIS) which helps the users to select an optimal cloud where uncertainty and subjectivity are parameterized using triangular fuzzy members and is handled by using linguistic values. The proposed computational intelligence decision making model enables decision makers to better understand the whole evaluation process and thus provides more accuracy, systematic and efficient decision support tool.","author":[{"dropping-particle":"","family":"Singla","given":"Chinu","non-dropping-particle":"","parse-names":false,"suffix":""},{"dropping-particle":"","family":"Mahajan","given":"Nitish","non-dropping-particle":"","parse-names":false,"suffix":""},{"dropping-particle":"","family":"Kaushal","given":"Sakshi","non-dropping-particle":"","parse-names":false,"suffix":""},{"dropping-particle":"","family":"Verma","given":"Amandeep","non-dropping-particle":"","parse-names":false,"suffix":""},{"dropping-particle":"","family":"Sangaiah","given":"Arun Kumar","non-dropping-particle":"","parse-names":false,"suffix":""}],"container-title":"Lecture Notes on Data Engineering and Communications Technologies","id":"ITEM-2","issued":{"date-parts":[["2018"]]},"page":"63-77","title":"Modelling and analysis of multi-objective service selection scheme in iot-cloud environment","type":"article-journal","volume":"14"},"uris":["http://www.mendeley.com/documents/?uuid=7494ce21-2695-4aa7-88ee-b438054cc538"]},{"id":"ITEM-3","itemData":{"DOI":"10.1016/j.techsoc.2019.101216","ISSN":"0160791X","abstract":"Various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Society","id":"ITEM-3","issue":"October 2019","issued":{"date-parts":[["2020"]]},"page":"101216","publisher":"Elsevier Ltd","title":"A multi-criteria analysis for an internet of things application recommendation system","type":"article-journal","volume":"60"},"uris":["http://www.mendeley.com/documents/?uuid=494cebf4-8679-46c0-806c-09d3c14188a8"]}],"mendeley":{"formattedCitation":"(Singla &lt;i&gt;et al.&lt;/i&gt;, 2018; Lin &lt;i&gt;et al.&lt;/i&gt;, 2020; Mashal, Alsaryrah and Chung, 2020)","plainTextFormattedCitation":"(Singla et al., 2018; Lin et al., 2020; Mashal, Alsaryrah and Chung, 2020)","previouslyFormattedCitation":"(Singla &lt;i&gt;et al.&lt;/i&gt;, 2018; Lin &lt;i&gt;et al.&lt;/i&gt;, 2020; Mashal, Alsaryrah and Chung,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(Singla </w:t>
            </w:r>
            <w:r w:rsidRPr="002A63BA">
              <w:rPr>
                <w:rFonts w:ascii="Open Sans" w:hAnsi="Open Sans" w:cs="Open Sans"/>
                <w:i/>
                <w:noProof/>
                <w:szCs w:val="22"/>
                <w:lang w:val="en-GB"/>
              </w:rPr>
              <w:t>et al.</w:t>
            </w:r>
            <w:r w:rsidRPr="002A63BA">
              <w:rPr>
                <w:rFonts w:ascii="Open Sans" w:hAnsi="Open Sans" w:cs="Open Sans"/>
                <w:noProof/>
                <w:szCs w:val="22"/>
                <w:lang w:val="en-GB"/>
              </w:rPr>
              <w:t xml:space="preserve">, 2018; Lin </w:t>
            </w:r>
            <w:r w:rsidRPr="002A63BA">
              <w:rPr>
                <w:rFonts w:ascii="Open Sans" w:hAnsi="Open Sans" w:cs="Open Sans"/>
                <w:i/>
                <w:noProof/>
                <w:szCs w:val="22"/>
                <w:lang w:val="en-GB"/>
              </w:rPr>
              <w:t>et al.</w:t>
            </w:r>
            <w:r w:rsidRPr="002A63BA">
              <w:rPr>
                <w:rFonts w:ascii="Open Sans" w:hAnsi="Open Sans" w:cs="Open Sans"/>
                <w:noProof/>
                <w:szCs w:val="22"/>
                <w:lang w:val="en-GB"/>
              </w:rPr>
              <w:t>, 2020; Mashal, Alsaryrah and Chung, 2020)</w:t>
            </w:r>
            <w:r w:rsidRPr="002A63BA">
              <w:rPr>
                <w:rFonts w:ascii="Open Sans" w:hAnsi="Open Sans" w:cs="Open Sans"/>
                <w:noProof/>
                <w:szCs w:val="22"/>
                <w:lang w:val="en-GB"/>
              </w:rPr>
              <w:fldChar w:fldCharType="end"/>
            </w:r>
          </w:p>
        </w:tc>
      </w:tr>
      <w:tr w:rsidR="00AE101A" w:rsidRPr="002A63BA" w14:paraId="5213E454" w14:textId="77777777" w:rsidTr="005B1A5A">
        <w:trPr>
          <w:jc w:val="center"/>
        </w:trPr>
        <w:tc>
          <w:tcPr>
            <w:tcW w:w="0" w:type="auto"/>
            <w:vAlign w:val="center"/>
          </w:tcPr>
          <w:p w14:paraId="228F423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security</w:t>
            </w:r>
          </w:p>
        </w:tc>
        <w:tc>
          <w:tcPr>
            <w:tcW w:w="0" w:type="auto"/>
            <w:vAlign w:val="center"/>
          </w:tcPr>
          <w:p w14:paraId="6CECC37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Method","type":"article-journal","volume":"7"},"uris":["http://www.mendeley.com/documents/?uuid=bfb9b006-1e72-489c-8313-20640efdbfb7"]},{"id":"ITEM-2","itemData":{"DOI":"10.1016/j.techfore.2015.05.007","ISSN":"00401625","abstract":"The vision of IoT has become an important agenda in the ICT industry; however, a tangible IoT market has yet to evolve, and full-fledged IoT applications have yet to emerge. In order to encourage IoT market participation, reliable evidence guaranteeing market success needs to be presented to investors and enterprises. Particularly, the most promising domain in IoT needs to be discovered as a killer application to primarily invest in and develop, so that it can pioneer the IoT market. This study proposes an AHP model for assessing the viability of IoT applications, which consists of 11 technology, market, and regulation factors. The model was applied to assess and compare the prospect of three IoT applications - i.e. IoT healthcare, IoT logistics, and IoT energy management, inviting the perception of 31 ICT experts. The results showed that IoT logistics is the most promising IoT application, due to its strong market potential. IoT healthcare is perceived to have strength in wide consumer market demand, but reliability issues and regulation issues were posed. Meanwhile, IoT energy management showed strengths only in governmental support. The results also imply that it would be wiser for the government to focus on eliminating regulatory bottlenecks.","author":[{"dropping-particle":"","family":"Kim","given":"Suwon","non-dropping-particle":"","parse-names":false,"suffix":""},{"dropping-particle":"","family":"Kim","given":"Seongcheol","non-dropping-particle":"","parse-names":false,"suffix":""}],"container-title":"Technological Forecasting and Social Change","id":"ITEM-2","issued":{"date-parts":[["2016"]]},"page":"143-155","publisher":"Elsevier Inc.","title":"A multi-criteria approach toward discovering killer IoT application in Korea","type":"article-journal","volume":"102"},"uris":["http://www.mendeley.com/documents/?uuid=68f81295-d570-4ba6-a5fe-8c9a274a0581"]},{"id":"ITEM-3","itemData":{"DOI":"10.3390/PR7030164","ISSN":"22279717","abstract":"This paper reviews the Lindley distribution and then introduces the scale and the double truncation. The unknown parameters of the truncated Lindley distribution are evaluated with the maximum likelihood estimators. An application of the Lindley distribution with scale is done to the initial mass function for stars. The magnitude version of the Lindley distribution with scale is applied to the luminosity function for the Sloan Digital Sky Survey (SDSS) galaxies and to the photometric maximum of the 2MASS Redshift Survey (2MRS) galaxies. The truncated Lindley luminosity function allows to model the Malquist bias of the 2MRS galaxies.","author":[{"dropping-particle":"","family":"Uslu","given":"Buse","non-dropping-particle":"","parse-names":false,"suffix":""},{"dropping-particle":"","family":"Eren","given":"Tamer","non-dropping-particle":"","parse-names":false,"suffix":""},{"dropping-particle":"","family":"Gur","given":"Seyda","non-dropping-particle":"","parse-names":false,"suffix":""},{"dropping-particle":"","family":"Ozcan","given":"Evrencan","non-dropping-particle":"","parse-names":false,"suffix":""}],"container-title":"Processes","id":"ITEM-3","issue":"3","issued":{"date-parts":[["2019"]]},"title":"Evaluation of the Difficulties in the Internet of Things (IoT) with Multi-Criteria Decision-Making","type":"article-journal","volume":"7"},"uris":["http://www.mendeley.com/documents/?uuid=13487359-0ab8-4063-82f2-f10ccfc3c3af"]},{"id":"ITEM-4","itemData":{"DOI":"10.1109/DESSERT.2018.8409117","ISBN":"9781538659038","abstract":"In this paper, the existing methods of multi-criteria decision making for selecting a rational IoT platform when designing IoT systems are considered. The complexity of the selection process is due to the large number of platforms, available on the IoT services market, and the variety of services and features, which they offer. Therefore, the task of selecting a rational IoT platform is very relevant today. This paper presents the application linear convolution and multiplicative convolution methods using two different approaches to forming weight coefficients for criteria: simple ranking and proportional. In addition, the analysis and research of the influence of various methods of multi-criteria decision making on the result of selecting a rational IoT platform have been carried out. The comparative results confirm the appropriateness of the use of the corresponding methods for solving the multi-criteria decision making task, which deals with a selection of the most rational IoT platform in special cases. Properly selected IoT platform allows increasing reliability and safety of the IoT systems for human and industry domains.","author":[{"dropping-particle":"","family":"Kondratenko","given":"Yuriy","non-dropping-particle":"","parse-names":false,"suffix":""},{"dropping-particle":"","family":"Kondratenko","given":"Galyna","non-dropping-particle":"","parse-names":false,"suffix":""},{"dropping-particle":"","family":"Sidenko","given":"Ievgen","non-dropping-particle":"","parse-names":false,"suffix":""}],"container-title":"Proceedings of 2018 IEEE 9th International Conference on Dependable Systems, Services and Technologies, DESSERT 2018","id":"ITEM-4","issued":{"date-parts":[["2018"]]},"page":"147-152","publisher":"IEEE","title":"Multi-criteria decision making for selecting a rational IoT platform","type":"article-journal"},"uris":["http://www.mendeley.com/documents/?uuid=b9c90450-34bb-4571-8fa7-663b76c7559a"]}],"mendeley":{"formattedCitation":"(Kim and Kim, 2016; Kondratenko, Kondratenko and Sidenko, 2018; Uslu &lt;i&gt;et al.&lt;/i&gt;, 2019; Lin &lt;i&gt;et al.&lt;/i&gt;, 2020)","plainTextFormattedCitation":"(Kim and Kim, 2016; Kondratenko, Kondratenko and Sidenko, 2018; Uslu et al., 2019; Lin et al., 2020)","previouslyFormattedCitation":"(Kim and Kim, 2016; Kondratenko, Kondratenko and Sidenko, 2018; Uslu &lt;i&gt;et al.&lt;/i&gt;, 2019; 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(Kim and Kim, 2016; Kondratenko, Kondratenko and Sidenko, 2018; Uslu </w:t>
            </w:r>
            <w:r w:rsidRPr="002A63BA">
              <w:rPr>
                <w:rFonts w:ascii="Open Sans" w:hAnsi="Open Sans" w:cs="Open Sans"/>
                <w:i/>
                <w:noProof/>
                <w:szCs w:val="22"/>
                <w:lang w:val="en-GB"/>
              </w:rPr>
              <w:t>et al.</w:t>
            </w:r>
            <w:r w:rsidRPr="002A63BA">
              <w:rPr>
                <w:rFonts w:ascii="Open Sans" w:hAnsi="Open Sans" w:cs="Open Sans"/>
                <w:noProof/>
                <w:szCs w:val="22"/>
                <w:lang w:val="en-GB"/>
              </w:rPr>
              <w:t xml:space="preserve">, 2019; 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2D6B72ED" w14:textId="77777777" w:rsidTr="005B1A5A">
        <w:trPr>
          <w:jc w:val="center"/>
        </w:trPr>
        <w:tc>
          <w:tcPr>
            <w:tcW w:w="0" w:type="auto"/>
            <w:vAlign w:val="center"/>
          </w:tcPr>
          <w:p w14:paraId="602B4F9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szCs w:val="22"/>
                <w:lang w:val="en-GB"/>
              </w:rPr>
              <w:t>Device management</w:t>
            </w:r>
          </w:p>
        </w:tc>
        <w:tc>
          <w:tcPr>
            <w:tcW w:w="0" w:type="auto"/>
            <w:vAlign w:val="center"/>
          </w:tcPr>
          <w:p w14:paraId="78995554" w14:textId="77777777" w:rsidR="00AE101A" w:rsidRPr="002A63BA" w:rsidRDefault="00AE101A" w:rsidP="00FF3EE4">
            <w:pPr>
              <w:pStyle w:val="SORtekst"/>
              <w:spacing w:before="0" w:line="276" w:lineRule="auto"/>
              <w:jc w:val="center"/>
              <w:rPr>
                <w:rFonts w:ascii="Open Sans" w:hAnsi="Open Sans" w:cs="Open Sans"/>
                <w:b/>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Computing","id":"ITEM-1","issued":{"date-parts":[["2019"]]},"number-of-pages":"71-80","title":"Multi-criteria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2019)","plainTextFormattedCitation":"(Kondratenko, Kondratenko and Sidenko, 2019)","previouslyFormattedCitation":"(Kondratenko, Kondratenko and Sidenko, 2019)"},"properties":{"noteIndex":0},"schema":"https://github.com/citation-style-language/schema/raw/master/csl-citation.json"}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(Kondratenko, Kondratenko and Sidenko, 2019)</w:t>
            </w:r>
            <w:r w:rsidRPr="002A63BA">
              <w:rPr>
                <w:rFonts w:ascii="Open Sans" w:hAnsi="Open Sans" w:cs="Open Sans"/>
                <w:noProof/>
                <w:szCs w:val="22"/>
                <w:lang w:val="en-GB"/>
              </w:rPr>
              <w:fldChar w:fldCharType="end"/>
            </w:r>
          </w:p>
        </w:tc>
      </w:tr>
      <w:tr w:rsidR="00AE101A" w:rsidRPr="002A63BA" w14:paraId="16A8AF1C" w14:textId="77777777" w:rsidTr="005B1A5A">
        <w:trPr>
          <w:jc w:val="center"/>
        </w:trPr>
        <w:tc>
          <w:tcPr>
            <w:tcW w:w="0" w:type="auto"/>
            <w:vAlign w:val="center"/>
          </w:tcPr>
          <w:p w14:paraId="0E24A7D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functionalities</w:t>
            </w:r>
          </w:p>
        </w:tc>
        <w:tc>
          <w:tcPr>
            <w:tcW w:w="0" w:type="auto"/>
            <w:vAlign w:val="center"/>
          </w:tcPr>
          <w:p w14:paraId="2F48CB3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{"citationItems":[{"id":"ITEM-1","itemData":{"DOI":"10.1109/JIOT.2020.2997133","ISSN":"23274662","abstract":"Evaluating the Internet-of-Things (IoT) platforms is a crucial step in the development and deployment process of IoT applications. It is still an open issue. In this article, evaluating the IoT platforms is formulated to be a multicriteria decision-making (MCDM) problem since it involves multiple considerations and a novel integrated MCDM method is put forward for handling this problem. To this end, an evaluation criteria system is established to characterize these considerations for evaluating IoT platforms, and then the concept of probabilistic linguistic term sets (PLTSs) is introduced to express the group preference information of IoT platforms with respect to the criteria. Then, a novel probabilistic linguistic best-worst (PLBW) method based on the score value is put forward for calculating and analyzing the importance degrees of criteria. Based on the PLBW method, two-tuple distance measure, and two-level possibility degree, a novel integrated probabilistic linguistic MCDM model based on the TODIM method is proposed to rank IoT platforms. Finally, a practical case is provided to show the procedure of evaluating IoT platforms and the comparative analysis is performed to verify the advantages of the probabilistic linguistic TODIM method.","author":[{"dropping-particle":"","family":"Lin","given":"Mingwei","non-dropping-particle":"","parse-names":false,"suffix":""},{"dropping-particle":"","family":"Huang","given":"Chao","non-dropping-particle":"","parse-names":false,"suffix":""},{"dropping-particle":"","family":"Xu","given":"Zeshui","non-dropping-particle":"","parse-names":false,"suffix":""},{"dropping-particle":"","family":"Chen","given":"Riqing","non-dropping-particle":"","parse-names":false,"suffix":""}],"container-title":"IEEE Internet of Things Journal","id":"ITEM-1","issue":"11","issued":{"date-parts":[["2020"]]},"page":"11195-11208","title":"Evaluating IoT Platforms Using Integrated Probabilistic Linguistic MCDM Method","type":"article-journal","volume":"7"},"uris":["http://www.mendeley.com/documents/?uuid=bfb9b006-1e72-489c-8313-20640efdbfb7"]},{"id":"ITEM-2","itemData":{"DOI":"10.1007/978-3-319-97885-7_8","ISBN":"9783319978840","ISSN":"21945357","abstract":"The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Computing","id":"ITEM-2","issued":{"date-parts":[["2019"]]},"number-of-pages":"71-80","title":"Multi-criteria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 Lin &lt;i&gt;et al.&lt;/i&gt;, 2020)","plainTextFormattedCitation":"(Kondratenko, Kondratenko and Sidenko, 2019; Lin et al., 2020)","previouslyFormattedCitation":"(Kondratenko, Kondratenko and Sidenko, 2019; Lin &lt;i&gt;et al.&lt;/i&gt;, 2020)"},"properties":{"noteIndex":0},"schema":"https://github.com/citation-style-language/schema/raw/master/csl-citation.json"}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 xml:space="preserve">(Kondratenko, Kondratenko and Sidenko, 2019; Lin </w:t>
            </w:r>
            <w:r w:rsidRPr="002A63BA">
              <w:rPr>
                <w:rFonts w:ascii="Open Sans" w:hAnsi="Open Sans" w:cs="Open Sans"/>
                <w:i/>
                <w:noProof/>
                <w:szCs w:val="22"/>
                <w:lang w:val="en-GB"/>
              </w:rPr>
              <w:t>et al.</w:t>
            </w:r>
            <w:r w:rsidRPr="002A63BA">
              <w:rPr>
                <w:rFonts w:ascii="Open Sans" w:hAnsi="Open Sans" w:cs="Open Sans"/>
                <w:noProof/>
                <w:szCs w:val="22"/>
                <w:lang w:val="en-GB"/>
              </w:rPr>
              <w:t>, 2020)</w:t>
            </w:r>
            <w:r w:rsidRPr="002A63BA">
              <w:rPr>
                <w:rFonts w:ascii="Open Sans" w:hAnsi="Open Sans" w:cs="Open Sans"/>
                <w:noProof/>
                <w:szCs w:val="22"/>
                <w:lang w:val="en-GB"/>
              </w:rPr>
              <w:fldChar w:fldCharType="end"/>
            </w:r>
          </w:p>
        </w:tc>
      </w:tr>
      <w:tr w:rsidR="00AE101A" w:rsidRPr="002A63BA" w14:paraId="4265723C" w14:textId="77777777" w:rsidTr="005B1A5A">
        <w:trPr>
          <w:jc w:val="center"/>
        </w:trPr>
        <w:tc>
          <w:tcPr>
            <w:tcW w:w="0" w:type="auto"/>
            <w:vAlign w:val="center"/>
          </w:tcPr>
          <w:p w14:paraId="60528C8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Usefulness of visualization</w:t>
            </w:r>
          </w:p>
        </w:tc>
        <w:tc>
          <w:tcPr>
            <w:tcW w:w="0" w:type="auto"/>
            <w:vAlign w:val="center"/>
          </w:tcPr>
          <w:p w14:paraId="59E507B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Computing","id":"ITEM-1","issued":{"date-parts":[["2019"]]},"number-of-pages":"71-80","title":"Multi-criteria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2019)","plainTextFormattedCitation":"(Kondratenko, Kondratenko and Sidenko, 2019)","previouslyFormattedCitation":"(Kondratenko, Kondratenko and Sidenko, 2019)"},"properties":{"noteIndex":0},"schema":"https://github.com/citation-style-language/schema/raw/master/csl-citation.json"}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(Kondratenko, Kondratenko and Sidenko, 2019)</w:t>
            </w:r>
            <w:r w:rsidRPr="002A63BA">
              <w:rPr>
                <w:rFonts w:ascii="Open Sans" w:hAnsi="Open Sans" w:cs="Open Sans"/>
                <w:noProof/>
                <w:szCs w:val="22"/>
                <w:lang w:val="en-GB"/>
              </w:rPr>
              <w:fldChar w:fldCharType="end"/>
            </w:r>
          </w:p>
        </w:tc>
      </w:tr>
      <w:tr w:rsidR="00AE101A" w:rsidRPr="002A63BA" w14:paraId="32FED0E4" w14:textId="77777777" w:rsidTr="005B1A5A">
        <w:trPr>
          <w:jc w:val="center"/>
        </w:trPr>
        <w:tc>
          <w:tcPr>
            <w:tcW w:w="0" w:type="auto"/>
            <w:vAlign w:val="center"/>
          </w:tcPr>
          <w:p w14:paraId="48DC4C9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Variety of data analytics tools/possibilities</w:t>
            </w:r>
          </w:p>
        </w:tc>
        <w:tc>
          <w:tcPr>
            <w:tcW w:w="0" w:type="auto"/>
            <w:vAlign w:val="center"/>
          </w:tcPr>
          <w:p w14:paraId="4672890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{"citationItems":[{"id":"ITEM-1","itemData":{"DOI":"10.1007/978-3-319-97885-7_8","ISBN":"9783319978840","ISSN":"21945357","abstract":"The task of the appropriate selection of the specialized Internet of Things (IoT) platform is very relevant today. The complexity of the selection process is due to (a) the large number of IoT platforms, which are available on the IoT services market, and (b) the variety of services and features, which they offer. In this paper, the multi-criteria decision making (MCDM) and the soft computing approaches for choosing the specialized IoT platform are considered. Authors illustrate solving MCDM problem using the linear convolution method with simple ranking approach to forming weight coefficients for criteria. MCDM methods have some limitations: (a) the need to take into account weight coefficients of the criteria; (b) the composition of the Pareto-optimal set of alternative decisions; (c) the lack of ability to change the dimension of the vector of alternatives and criteria in real time; (d) significant impact of weight coefficients that the expert determines on the result. Thus, the authors propose to use the soft computing approach, in particular, Mamdani-type fuzzy logic inference engine for selection of the specialized IoT platform. Relevant factors (reliability, dependability, safety, and security of IoT platforms) are considered as the most important ones for decision making in the IoT platform selection processes. In addition, analysis and research of the influence level of various factors on the selection of specialized IoT platform have been carried out. Special cases of choosing the specialized IoT platform with confirmation of the appropriateness of the using soft computing approach are discussed.","author":[{"dropping-particle":"","family":"Kondratenko","given":"Yuriy","non-dropping-particle":"","parse-names":false,"suffix":""},{"dropping-particle":"","family":"Kondratenko","given":"Galyna","non-dropping-particle":"","parse-names":false,"suffix":""},{"dropping-particle":"","family":"Sidenko","given":"Ievgen","non-dropping-particle":"","parse-names":false,"suffix":""}],"container-title":"Advances in Intelligent Systems and Computing","id":"ITEM-1","issued":{"date-parts":[["2019"]]},"number-of-pages":"71-80","title":"Multi-criteria decision making and soft computing for the selection of specialized IoT platform","type":"book","volume":"836"},"uris":["http://www.mendeley.com/documents/?uuid=6a13fefb-482e-41b5-ac35-a5bc00997b1d"]}],"mendeley":{"formattedCitation":"(Kondratenko, Kondratenko and Sidenko, 2019)","plainTextFormattedCitation":"(Kondratenko, Kondratenko and Sidenko, 2019)","previouslyFormattedCitation":"(Kondratenko, Kondratenko and Sidenko, 2019)"},"properties":{"noteIndex":0},"schema":"https://github.com/citation-style-language/schema/raw/master/csl-citation.json"}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(Kondratenko, Kondratenko and Sidenko, 2019)</w:t>
            </w:r>
            <w:r w:rsidRPr="002A63BA">
              <w:rPr>
                <w:rFonts w:ascii="Open Sans" w:hAnsi="Open Sans" w:cs="Open Sans"/>
                <w:noProof/>
                <w:szCs w:val="22"/>
                <w:lang w:val="en-GB"/>
              </w:rPr>
              <w:fldChar w:fldCharType="end"/>
            </w:r>
          </w:p>
        </w:tc>
      </w:tr>
      <w:tr w:rsidR="00AE101A" w:rsidRPr="002A63BA" w14:paraId="5B949552" w14:textId="77777777" w:rsidTr="005B1A5A">
        <w:trPr>
          <w:jc w:val="center"/>
        </w:trPr>
        <w:tc>
          <w:tcPr>
            <w:tcW w:w="0" w:type="auto"/>
            <w:vAlign w:val="center"/>
          </w:tcPr>
          <w:p w14:paraId="74A09962"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portability</w:t>
            </w:r>
          </w:p>
        </w:tc>
        <w:tc>
          <w:tcPr>
            <w:tcW w:w="0" w:type="auto"/>
            <w:vAlign w:val="center"/>
          </w:tcPr>
          <w:p w14:paraId="50294DA5"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{"citationItems":[{"id":"ITEM-1","itemData":{"DOI":"10.1016/j.jpdc.2018.10.008","ISSN":"07437315","abstract":"Decision-making is not a trivial process. It involves studying and analyzing different alternatives. In addition, it requires defining criteria for evaluating the alternatives. A problem arises when evaluating criteria that conflict or when dealing with qualitative criteria. The analytic hierarchy process (AHP) is a multi-criteria decision tool that simplifies the decision-making process. It can evaluate both qualitative and quantitative criteria. Moreover, AHP justifies the final decision by providing the mathematical reasoning behind the judgment. The aim of this research is to evaluate available Internet of Things (IoT) databases in an edge/cloud platform by applying AHP and to suggest a suitable approach for developing a database application. In this study, four alternative database development tools are evaluated: DaDaBIK, DataFlex, Oracle Application Express, and FileMaker. We define our criteria, explain why they are selected, and assign each a weight based on its importance. We then evaluate the candidates using the weighted criteria. FileMaker is found to be the best choice because it offers the best usability, portability, and supportability for IoT scenarios.","author":[{"dropping-particle":"","family":"Alelaiwi","given":"Abdulhameed","non-dropping-particle":"","parse-names":false,"suffix":""}],"container-title":"Journal of Parallel and Distributed Computing","id":"ITEM-1","issued":{"date-parts":[["2019"]]},"page":"41-46","publisher":"Elsevier Inc.","title":"Evaluating distributed IoT databases for edge/cloud platforms using the analytic hierarchy process","type":"article-journal","volume":"124"},"uris":["http://www.mendeley.com/documents/?uuid=6e6f4d7c-b955-4468-b1db-65cea4108f76"]}],"mendeley":{"formattedCitation":"(Alelaiwi, 2019)","plainTextFormattedCitation":"(Alelaiwi, 2019)","previouslyFormattedCitation":"(Alelaiwi, 2019)"},"properties":{"noteIndex":0},"schema":"https://github.com/citation-style-language/schema/raw/master/csl-citation.json"}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(Alelaiwi, 2019)</w:t>
            </w:r>
            <w:r w:rsidRPr="002A63BA">
              <w:rPr>
                <w:rFonts w:ascii="Open Sans" w:hAnsi="Open Sans" w:cs="Open Sans"/>
                <w:noProof/>
                <w:szCs w:val="22"/>
                <w:lang w:val="en-GB"/>
              </w:rPr>
              <w:fldChar w:fldCharType="end"/>
            </w:r>
            <w:r w:rsidRPr="002A63BA">
              <w:rPr>
                <w:rFonts w:ascii="Open Sans" w:hAnsi="Open Sans" w:cs="Open Sans"/>
                <w:noProof/>
                <w:szCs w:val="22"/>
                <w:lang w:val="en-GB"/>
              </w:rPr>
              <w:t xml:space="preserve"> </w:t>
            </w:r>
          </w:p>
        </w:tc>
      </w:tr>
      <w:tr w:rsidR="00AE101A" w:rsidRPr="002A63BA" w14:paraId="0EE3F2B3" w14:textId="77777777" w:rsidTr="005B1A5A">
        <w:trPr>
          <w:jc w:val="center"/>
        </w:trPr>
        <w:tc>
          <w:tcPr>
            <w:tcW w:w="0" w:type="auto"/>
            <w:vAlign w:val="center"/>
          </w:tcPr>
          <w:p w14:paraId="6E315795"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Supportability (from vendor/provider)</w:t>
            </w:r>
          </w:p>
        </w:tc>
        <w:tc>
          <w:tcPr>
            <w:tcW w:w="0" w:type="auto"/>
            <w:vAlign w:val="center"/>
          </w:tcPr>
          <w:p w14:paraId="75F9E570"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noProof/>
                <w:szCs w:val="22"/>
                <w:lang w:val="en-GB"/>
              </w:rPr>
              <w:fldChar w:fldCharType="begin" w:fldLock="1"/>
            </w:r>
            <w:r w:rsidRPr="002A63BA">
              <w:rPr>
                <w:rFonts w:ascii="Open Sans" w:hAnsi="Open Sans" w:cs="Open Sans"/>
                <w:noProof/>
                <w:szCs w:val="22"/>
                <w:lang w:val="en-GB"/>
              </w:rPr>
              <w:instrText>ADDIN CSL_CITATION {"citationItems":[{"id":"ITEM-1","itemData":{"DOI":"10.1016/j.jpdc.2018.10.008","ISSN":"07437315","abstract":"Decision-making is not a trivial process. It involves studying and analyzing different alternatives. In addition, it requires defining criteria for evaluating the alternatives. A problem arises when evaluating criteria that conflict or when dealing with qualitative criteria. The analytic hierarchy process (AHP) is a multi-criteria decision tool that simplifies the decision-making process. It can evaluate both qualitative and quantitative criteria. Moreover, AHP justifies the final decision by providing the mathematical reasoning behind the judgment. The aim of this research is to evaluate available Internet of Things (IoT) databases in an edge/cloud platform by applying AHP and to suggest a suitable approach for developing a database application. In this study, four alternative database development tools are evaluated: DaDaBIK, DataFlex, Oracle Application Express, and FileMaker. We define our criteria, explain why they are selected, and assign each a weight based on its importance. We then evaluate the candidates using the weighted criteria. FileMaker is found to be the best choice because it offers the best usability, portability, and supportability for IoT scenarios.","author":[{"dropping-particle":"","family":"Alelaiwi","given":"Abdulhameed","non-dropping-particle":"","parse-names":false,"suffix":""}],"container-title":"Journal of Parallel and Distributed Computing","id":"ITEM-1","issued":{"date-parts":[["2019"]]},"page":"41-46","publisher":"Elsevier Inc.","title":"Evaluating distributed IoT databases for edge/cloud platforms using the analytic hierarchy process","type":"article-journal","volume":"124"},"uris":["http://www.mendeley.com/documents/?uuid=6e6f4d7c-b955-4468-b1db-65cea4108f76"]}],"mendeley":{"formattedCitation":"(Alelaiwi, 2019)","plainTextFormattedCitation":"(Alelaiwi, 2019)","previouslyFormattedCitation":"(Alelaiwi, 2019)"},"properties":{"noteIndex":0},"schema":"https://github.com/citation-style-language/schema/raw/master/csl-citation.json"}</w:instrText>
            </w:r>
            <w:r w:rsidRPr="002A63BA">
              <w:rPr>
                <w:rFonts w:ascii="Open Sans" w:hAnsi="Open Sans" w:cs="Open Sans"/>
                <w:noProof/>
                <w:szCs w:val="22"/>
                <w:lang w:val="en-GB"/>
              </w:rPr>
              <w:fldChar w:fldCharType="separate"/>
            </w:r>
            <w:r w:rsidRPr="002A63BA">
              <w:rPr>
                <w:rFonts w:ascii="Open Sans" w:hAnsi="Open Sans" w:cs="Open Sans"/>
                <w:noProof/>
                <w:szCs w:val="22"/>
                <w:lang w:val="en-GB"/>
              </w:rPr>
              <w:t>(Alelaiwi, 2019)</w:t>
            </w:r>
            <w:r w:rsidRPr="002A63BA">
              <w:rPr>
                <w:rFonts w:ascii="Open Sans" w:hAnsi="Open Sans" w:cs="Open Sans"/>
                <w:noProof/>
                <w:szCs w:val="22"/>
                <w:lang w:val="en-GB"/>
              </w:rPr>
              <w:fldChar w:fldCharType="end"/>
            </w:r>
          </w:p>
        </w:tc>
      </w:tr>
    </w:tbl>
    <w:p w14:paraId="59E27DFD" w14:textId="77777777" w:rsidR="00AE101A" w:rsidRPr="002A63BA" w:rsidRDefault="00AE101A" w:rsidP="00FF3EE4">
      <w:pPr>
        <w:pStyle w:val="NaslovSOR0502"/>
        <w:numPr>
          <w:ilvl w:val="0"/>
          <w:numId w:val="0"/>
        </w:numPr>
        <w:spacing w:line="276" w:lineRule="auto"/>
        <w:rPr>
          <w:rFonts w:ascii="Open Sans" w:hAnsi="Open Sans" w:cs="Open Sans"/>
          <w:b w:val="0"/>
          <w:sz w:val="22"/>
          <w:szCs w:val="22"/>
          <w:lang w:val="en-GB"/>
        </w:rPr>
      </w:pPr>
      <w:r w:rsidRPr="002A63BA">
        <w:rPr>
          <w:rFonts w:ascii="Open Sans" w:hAnsi="Open Sans" w:cs="Open Sans"/>
          <w:b w:val="0"/>
          <w:sz w:val="22"/>
          <w:szCs w:val="22"/>
          <w:lang w:val="en-GB"/>
        </w:rPr>
        <w:t xml:space="preserve">Source: </w:t>
      </w:r>
      <w:r w:rsidRPr="002A63BA">
        <w:rPr>
          <w:rFonts w:ascii="Open Sans" w:hAnsi="Open Sans" w:cs="Open Sans"/>
          <w:b w:val="0"/>
          <w:sz w:val="22"/>
          <w:szCs w:val="22"/>
          <w:lang w:val="en-GB"/>
        </w:rPr>
        <w:fldChar w:fldCharType="begin" w:fldLock="1"/>
      </w:r>
      <w:r w:rsidRPr="002A63BA">
        <w:rPr>
          <w:rFonts w:ascii="Open Sans" w:hAnsi="Open Sans" w:cs="Open Sans"/>
          <w:b w:val="0"/>
          <w:sz w:val="22"/>
          <w:szCs w:val="22"/>
          <w:lang w:val="en-GB"/>
        </w:rPr>
        <w:instrText>ADDIN CSL_CITATION {"citationItems":[{"id":"ITEM-1","itemData":{"author":[{"dropping-particle":"","family":"Mijač","given":"Tea","non-dropping-particle":"","parse-names":false,"suffix":""},{"dropping-particle":"","family":"Ninčević Pašalić","given":"Ivana","non-dropping-particle":"","parse-names":false,"suffix":""},{"dropping-particle":"","family":"Tomat","given":"Luka","non-dropping-particle":"","parse-names":false,"suffix":""}],"container-title":"Proceedings of the 16 th International Symposium on Operational Research in Slovenia","id":"ITEM-1","issued":{"date-parts":[["2021"]]},"page":"35-40","title":"SELECTION OF IOT PLATFORMS IN SMART CITIES: MULTICRITERIA DECISION MAKING","type":"paper-conference"},"uris":["http://www.mendeley.com/documents/?uuid=4cc463d8-4b79-45fa-8b69-02031c6adb52"]}],"mendeley":{"formattedCitation":"(Mijač, Ninčević Pašalić and Tomat, 2021)"},"properties":{"noteIndex":0},"schema":"https://github.com/citation-style-language/schema/raw/master/csl-citation.json"}</w:instrText>
      </w:r>
      <w:r w:rsidRPr="002A63BA">
        <w:rPr>
          <w:rFonts w:ascii="Open Sans" w:hAnsi="Open Sans" w:cs="Open Sans"/>
          <w:b w:val="0"/>
          <w:sz w:val="22"/>
          <w:szCs w:val="22"/>
          <w:lang w:val="en-GB"/>
        </w:rPr>
        <w:fldChar w:fldCharType="separate"/>
      </w:r>
      <w:r w:rsidRPr="002A63BA">
        <w:rPr>
          <w:rFonts w:ascii="Open Sans" w:hAnsi="Open Sans" w:cs="Open Sans"/>
          <w:b w:val="0"/>
          <w:sz w:val="22"/>
          <w:szCs w:val="22"/>
          <w:lang w:val="en-GB"/>
        </w:rPr>
        <w:t>adapted from Mijač, Ninčević Pašalić and Tomat (2021)</w:t>
      </w:r>
      <w:r w:rsidRPr="002A63BA">
        <w:rPr>
          <w:rFonts w:ascii="Open Sans" w:hAnsi="Open Sans" w:cs="Open Sans"/>
          <w:b w:val="0"/>
          <w:sz w:val="22"/>
          <w:szCs w:val="22"/>
          <w:lang w:val="en-GB"/>
        </w:rPr>
        <w:fldChar w:fldCharType="end"/>
      </w:r>
    </w:p>
    <w:p w14:paraId="61083F41" w14:textId="77777777" w:rsidR="00AE101A" w:rsidRPr="002A63BA" w:rsidRDefault="00AE101A" w:rsidP="00FF3EE4">
      <w:pPr>
        <w:pStyle w:val="NaslovSOR0502"/>
        <w:numPr>
          <w:ilvl w:val="0"/>
          <w:numId w:val="0"/>
        </w:numPr>
        <w:spacing w:line="276" w:lineRule="auto"/>
        <w:jc w:val="both"/>
        <w:rPr>
          <w:rFonts w:ascii="Open Sans" w:hAnsi="Open Sans" w:cs="Open Sans"/>
          <w:b w:val="0"/>
          <w:sz w:val="22"/>
          <w:szCs w:val="22"/>
          <w:lang w:val="en-GB"/>
        </w:rPr>
      </w:pPr>
    </w:p>
    <w:p w14:paraId="146F937B"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Criteria that were deemed irrelevant (outside of the scope of an IoT platform) were omitted from the analysis, leaving the authors to concentrate solely on the general ones (e.g. market longevity). The literature review yielded the following 15 criteria: availability, security, price, reliability, device management, integration flexibility, manufacturer </w:t>
      </w:r>
      <w:r w:rsidRPr="002A63BA">
        <w:rPr>
          <w:rFonts w:ascii="Open Sans" w:hAnsi="Open Sans" w:cs="Open Sans"/>
        </w:rPr>
        <w:lastRenderedPageBreak/>
        <w:t>quality, portability, scalability, standardization, supportability, functionality, usability, visualization utility, and data analytics variety.</w:t>
      </w:r>
    </w:p>
    <w:p w14:paraId="17799A9F" w14:textId="43B6682D" w:rsidR="00AE101A" w:rsidRPr="002A63BA" w:rsidRDefault="00AE101A" w:rsidP="005B1A5A">
      <w:pPr>
        <w:pStyle w:val="N1"/>
      </w:pPr>
      <w:r w:rsidRPr="002A63BA">
        <w:t xml:space="preserve">METHODOLOGY </w:t>
      </w:r>
    </w:p>
    <w:p w14:paraId="2F2D7D6F"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In the process of decision making, decision-maker(s) evaluate the importance of criteria in terms of priorities or weights. In this study, </w:t>
      </w:r>
      <w:r w:rsidRPr="002A63BA">
        <w:rPr>
          <w:rFonts w:ascii="Open Sans" w:hAnsi="Open Sans" w:cs="Open Sans"/>
          <w:i/>
          <w:szCs w:val="22"/>
          <w:lang w:val="en-GB"/>
        </w:rPr>
        <w:t xml:space="preserve">group weight assessment </w:t>
      </w:r>
      <w:r w:rsidRPr="002A63BA">
        <w:rPr>
          <w:rFonts w:ascii="Open Sans" w:hAnsi="Open Sans" w:cs="Open Sans"/>
          <w:szCs w:val="22"/>
          <w:lang w:val="en-GB"/>
        </w:rPr>
        <w:t>has been conducted with experts</w:t>
      </w:r>
      <w:r w:rsidRPr="002A63BA">
        <w:rPr>
          <w:rFonts w:ascii="Open Sans" w:hAnsi="Open Sans" w:cs="Open Sans"/>
          <w:i/>
          <w:szCs w:val="22"/>
          <w:lang w:val="en-GB"/>
        </w:rPr>
        <w:t>.</w:t>
      </w:r>
      <w:r w:rsidRPr="002A63BA">
        <w:rPr>
          <w:rFonts w:ascii="Open Sans" w:hAnsi="Open Sans" w:cs="Open Sans"/>
          <w:szCs w:val="22"/>
          <w:lang w:val="en-GB"/>
        </w:rPr>
        <w:t xml:space="preserve"> Using the grading method, vendors and end-users (in the role of experts) were presented with criteria and were asked to award a grade for each criterion in an interval from 0 to 100. The weight were calculated using the following formula (1):</w:t>
      </w:r>
    </w:p>
    <w:p w14:paraId="7F31E396" w14:textId="77777777" w:rsidR="00AE101A" w:rsidRPr="002A63BA" w:rsidRDefault="00000000" w:rsidP="00FF3EE4">
      <w:pPr>
        <w:spacing w:after="120" w:line="276" w:lineRule="auto"/>
        <w:ind w:left="1134"/>
        <w:jc w:val="right"/>
        <w:rPr>
          <w:rFonts w:ascii="Open Sans" w:hAnsi="Open Sans" w:cs="Open Sans"/>
        </w:rPr>
      </w:pPr>
      <m:oMath>
        <m:sSub>
          <m:sSubPr>
            <m:ctrlPr>
              <w:rPr>
                <w:rFonts w:ascii="Cambria Math" w:hAnsi="Cambria Math" w:cs="Open Sans"/>
              </w:rPr>
            </m:ctrlPr>
          </m:sSubPr>
          <m:e>
            <m:r>
              <w:rPr>
                <w:rFonts w:ascii="Cambria Math" w:hAnsi="Cambria Math" w:cs="Open Sans"/>
              </w:rPr>
              <m:t>w</m:t>
            </m:r>
          </m:e>
          <m:sub>
            <m:r>
              <w:rPr>
                <w:rFonts w:ascii="Cambria Math" w:hAnsi="Cambria Math" w:cs="Open Sans"/>
              </w:rPr>
              <m:t>jk</m:t>
            </m:r>
          </m:sub>
        </m:sSub>
        <m:r>
          <w:rPr>
            <w:rFonts w:ascii="Cambria Math" w:hAnsi="Cambria Math" w:cs="Open Sans"/>
          </w:rPr>
          <m:t>=</m:t>
        </m:r>
        <m:f>
          <m:fPr>
            <m:ctrlPr>
              <w:rPr>
                <w:rFonts w:ascii="Cambria Math" w:hAnsi="Cambria Math" w:cs="Open Sans"/>
                <w:i/>
              </w:rPr>
            </m:ctrlPr>
          </m:fPr>
          <m:num>
            <m:sSub>
              <m:sSubPr>
                <m:ctrlPr>
                  <w:rPr>
                    <w:rFonts w:ascii="Cambria Math" w:hAnsi="Cambria Math" w:cs="Open Sans"/>
                    <w:i/>
                  </w:rPr>
                </m:ctrlPr>
              </m:sSubPr>
              <m:e>
                <m:r>
                  <w:rPr>
                    <w:rFonts w:ascii="Cambria Math" w:hAnsi="Cambria Math" w:cs="Open Sans"/>
                  </w:rPr>
                  <m:t>p</m:t>
                </m:r>
              </m:e>
              <m:sub>
                <m:r>
                  <w:rPr>
                    <w:rFonts w:ascii="Cambria Math" w:hAnsi="Cambria Math" w:cs="Open Sans"/>
                  </w:rPr>
                  <m:t>jk</m:t>
                </m:r>
              </m:sub>
            </m:sSub>
          </m:num>
          <m:den>
            <m:nary>
              <m:naryPr>
                <m:chr m:val="∑"/>
                <m:limLoc m:val="undOvr"/>
                <m:ctrlPr>
                  <w:rPr>
                    <w:rFonts w:ascii="Cambria Math" w:hAnsi="Cambria Math" w:cs="Open Sans"/>
                    <w:i/>
                  </w:rPr>
                </m:ctrlPr>
              </m:naryPr>
              <m:sub>
                <m:r>
                  <w:rPr>
                    <w:rFonts w:ascii="Cambria Math" w:hAnsi="Cambria Math" w:cs="Open Sans"/>
                  </w:rPr>
                  <m:t>j=1</m:t>
                </m:r>
              </m:sub>
              <m:sup>
                <m:r>
                  <w:rPr>
                    <w:rFonts w:ascii="Cambria Math" w:hAnsi="Cambria Math" w:cs="Open Sans"/>
                  </w:rPr>
                  <m:t>n</m:t>
                </m:r>
              </m:sup>
              <m:e>
                <m:sSub>
                  <m:sSubPr>
                    <m:ctrlPr>
                      <w:rPr>
                        <w:rFonts w:ascii="Cambria Math" w:hAnsi="Cambria Math" w:cs="Open Sans"/>
                        <w:i/>
                      </w:rPr>
                    </m:ctrlPr>
                  </m:sSubPr>
                  <m:e>
                    <m:r>
                      <w:rPr>
                        <w:rFonts w:ascii="Cambria Math" w:hAnsi="Cambria Math" w:cs="Open Sans"/>
                      </w:rPr>
                      <m:t>p</m:t>
                    </m:r>
                  </m:e>
                  <m:sub>
                    <m:r>
                      <w:rPr>
                        <w:rFonts w:ascii="Cambria Math" w:hAnsi="Cambria Math" w:cs="Open Sans"/>
                      </w:rPr>
                      <m:t>jk</m:t>
                    </m:r>
                  </m:sub>
                </m:sSub>
              </m:e>
            </m:nary>
          </m:den>
        </m:f>
      </m:oMath>
      <w:r w:rsidR="00AE101A" w:rsidRPr="002A63BA">
        <w:rPr>
          <w:rFonts w:ascii="Open Sans" w:hAnsi="Open Sans" w:cs="Open Sans"/>
        </w:rPr>
        <w:t xml:space="preserve"> </w:t>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t>(1)</w:t>
      </w:r>
      <w:r w:rsidR="00AE101A" w:rsidRPr="002A63BA">
        <w:rPr>
          <w:rFonts w:ascii="Open Sans" w:hAnsi="Open Sans" w:cs="Open Sans"/>
        </w:rPr>
        <w:br/>
      </w:r>
    </w:p>
    <w:p w14:paraId="37F4F0A5" w14:textId="77777777" w:rsidR="00AE101A" w:rsidRPr="002A63BA" w:rsidRDefault="00000000" w:rsidP="00FF3EE4">
      <w:pPr>
        <w:spacing w:after="120" w:line="276" w:lineRule="auto"/>
        <w:ind w:left="1134"/>
        <w:jc w:val="right"/>
        <w:rPr>
          <w:rFonts w:ascii="Open Sans" w:hAnsi="Open Sans" w:cs="Open Sans"/>
        </w:rPr>
      </w:pPr>
      <m:oMath>
        <m:sSub>
          <m:sSubPr>
            <m:ctrlPr>
              <w:rPr>
                <w:rFonts w:ascii="Cambria Math" w:hAnsi="Cambria Math" w:cs="Open Sans"/>
                <w:i/>
              </w:rPr>
            </m:ctrlPr>
          </m:sSubPr>
          <m:e>
            <m:r>
              <w:rPr>
                <w:rFonts w:ascii="Cambria Math" w:hAnsi="Cambria Math" w:cs="Open Sans"/>
              </w:rPr>
              <m:t>w</m:t>
            </m:r>
          </m:e>
          <m:sub>
            <m:r>
              <w:rPr>
                <w:rFonts w:ascii="Cambria Math" w:hAnsi="Cambria Math" w:cs="Open Sans"/>
              </w:rPr>
              <m:t>j</m:t>
            </m:r>
          </m:sub>
        </m:sSub>
        <m:r>
          <w:rPr>
            <w:rFonts w:ascii="Cambria Math" w:hAnsi="Cambria Math" w:cs="Open Sans"/>
          </w:rPr>
          <m:t xml:space="preserve">= </m:t>
        </m:r>
        <m:f>
          <m:fPr>
            <m:ctrlPr>
              <w:rPr>
                <w:rFonts w:ascii="Cambria Math" w:hAnsi="Cambria Math" w:cs="Open Sans"/>
                <w:i/>
              </w:rPr>
            </m:ctrlPr>
          </m:fPr>
          <m:num>
            <m:nary>
              <m:naryPr>
                <m:chr m:val="∑"/>
                <m:limLoc m:val="undOvr"/>
                <m:ctrlPr>
                  <w:rPr>
                    <w:rFonts w:ascii="Cambria Math" w:hAnsi="Cambria Math" w:cs="Open Sans"/>
                    <w:i/>
                  </w:rPr>
                </m:ctrlPr>
              </m:naryPr>
              <m:sub>
                <m:r>
                  <w:rPr>
                    <w:rFonts w:ascii="Cambria Math" w:hAnsi="Cambria Math" w:cs="Open Sans"/>
                  </w:rPr>
                  <m:t>k=1</m:t>
                </m:r>
              </m:sub>
              <m:sup>
                <m:r>
                  <w:rPr>
                    <w:rFonts w:ascii="Cambria Math" w:hAnsi="Cambria Math" w:cs="Open Sans"/>
                  </w:rPr>
                  <m:t>l</m:t>
                </m:r>
              </m:sup>
              <m:e>
                <m:sSub>
                  <m:sSubPr>
                    <m:ctrlPr>
                      <w:rPr>
                        <w:rFonts w:ascii="Cambria Math" w:hAnsi="Cambria Math" w:cs="Open Sans"/>
                        <w:i/>
                      </w:rPr>
                    </m:ctrlPr>
                  </m:sSubPr>
                  <m:e>
                    <m:r>
                      <w:rPr>
                        <w:rFonts w:ascii="Cambria Math" w:hAnsi="Cambria Math" w:cs="Open Sans"/>
                      </w:rPr>
                      <m:t>w</m:t>
                    </m:r>
                  </m:e>
                  <m:sub>
                    <m:r>
                      <w:rPr>
                        <w:rFonts w:ascii="Cambria Math" w:hAnsi="Cambria Math" w:cs="Open Sans"/>
                      </w:rPr>
                      <m:t>jk</m:t>
                    </m:r>
                  </m:sub>
                </m:sSub>
              </m:e>
            </m:nary>
          </m:num>
          <m:den>
            <m:nary>
              <m:naryPr>
                <m:chr m:val="∑"/>
                <m:limLoc m:val="undOvr"/>
                <m:ctrlPr>
                  <w:rPr>
                    <w:rFonts w:ascii="Cambria Math" w:hAnsi="Cambria Math" w:cs="Open Sans"/>
                    <w:i/>
                  </w:rPr>
                </m:ctrlPr>
              </m:naryPr>
              <m:sub>
                <m:r>
                  <w:rPr>
                    <w:rFonts w:ascii="Cambria Math" w:hAnsi="Cambria Math" w:cs="Open Sans"/>
                  </w:rPr>
                  <m:t>j=1</m:t>
                </m:r>
              </m:sub>
              <m:sup>
                <m:r>
                  <w:rPr>
                    <w:rFonts w:ascii="Cambria Math" w:hAnsi="Cambria Math" w:cs="Open Sans"/>
                  </w:rPr>
                  <m:t>n</m:t>
                </m:r>
              </m:sup>
              <m:e>
                <m:nary>
                  <m:naryPr>
                    <m:chr m:val="∑"/>
                    <m:limLoc m:val="undOvr"/>
                    <m:ctrlPr>
                      <w:rPr>
                        <w:rFonts w:ascii="Cambria Math" w:hAnsi="Cambria Math" w:cs="Open Sans"/>
                        <w:i/>
                      </w:rPr>
                    </m:ctrlPr>
                  </m:naryPr>
                  <m:sub>
                    <m:r>
                      <w:rPr>
                        <w:rFonts w:ascii="Cambria Math" w:hAnsi="Cambria Math" w:cs="Open Sans"/>
                      </w:rPr>
                      <m:t>k=1</m:t>
                    </m:r>
                  </m:sub>
                  <m:sup>
                    <m:r>
                      <w:rPr>
                        <w:rFonts w:ascii="Cambria Math" w:hAnsi="Cambria Math" w:cs="Open Sans"/>
                      </w:rPr>
                      <m:t>l</m:t>
                    </m:r>
                  </m:sup>
                  <m:e>
                    <m:sSub>
                      <m:sSubPr>
                        <m:ctrlPr>
                          <w:rPr>
                            <w:rFonts w:ascii="Cambria Math" w:hAnsi="Cambria Math" w:cs="Open Sans"/>
                            <w:i/>
                          </w:rPr>
                        </m:ctrlPr>
                      </m:sSubPr>
                      <m:e>
                        <m:r>
                          <w:rPr>
                            <w:rFonts w:ascii="Cambria Math" w:hAnsi="Cambria Math" w:cs="Open Sans"/>
                          </w:rPr>
                          <m:t>w</m:t>
                        </m:r>
                      </m:e>
                      <m:sub>
                        <m:r>
                          <w:rPr>
                            <w:rFonts w:ascii="Cambria Math" w:hAnsi="Cambria Math" w:cs="Open Sans"/>
                          </w:rPr>
                          <m:t>jk</m:t>
                        </m:r>
                      </m:sub>
                    </m:sSub>
                  </m:e>
                </m:nary>
              </m:e>
            </m:nary>
          </m:den>
        </m:f>
      </m:oMath>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r>
      <w:r w:rsidR="00AE101A" w:rsidRPr="002A63BA">
        <w:rPr>
          <w:rFonts w:ascii="Open Sans" w:hAnsi="Open Sans" w:cs="Open Sans"/>
        </w:rPr>
        <w:tab/>
        <w:t>(2)</w:t>
      </w:r>
    </w:p>
    <w:p w14:paraId="4AC0CD3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where </w:t>
      </w:r>
      <w:r w:rsidRPr="002A63BA">
        <w:rPr>
          <w:rFonts w:ascii="Open Sans" w:hAnsi="Open Sans" w:cs="Open Sans"/>
          <w:i/>
        </w:rPr>
        <w:t xml:space="preserve">n </w:t>
      </w:r>
      <w:r w:rsidRPr="002A63BA">
        <w:rPr>
          <w:rFonts w:ascii="Open Sans" w:hAnsi="Open Sans" w:cs="Open Sans"/>
        </w:rPr>
        <w:t xml:space="preserve">signifies the number of alternatives, </w:t>
      </w:r>
      <w:r w:rsidRPr="002A63BA">
        <w:rPr>
          <w:rFonts w:ascii="Cambria Math" w:hAnsi="Cambria Math" w:cs="Cambria Math"/>
        </w:rPr>
        <w:t>𝜌</w:t>
      </w:r>
      <w:r w:rsidRPr="002A63BA">
        <w:rPr>
          <w:rFonts w:ascii="Cambria Math" w:hAnsi="Cambria Math" w:cs="Cambria Math"/>
          <w:vertAlign w:val="subscript"/>
        </w:rPr>
        <w:t>𝑗𝑘</w:t>
      </w:r>
      <w:r w:rsidRPr="002A63BA">
        <w:rPr>
          <w:rFonts w:ascii="Open Sans" w:hAnsi="Open Sans" w:cs="Open Sans"/>
        </w:rPr>
        <w:t xml:space="preserve"> the grade from expert </w:t>
      </w:r>
      <w:r w:rsidRPr="002A63BA">
        <w:rPr>
          <w:rFonts w:ascii="Open Sans" w:hAnsi="Open Sans" w:cs="Open Sans"/>
          <w:i/>
        </w:rPr>
        <w:t>k</w:t>
      </w:r>
      <w:r w:rsidRPr="002A63BA">
        <w:rPr>
          <w:rFonts w:ascii="Open Sans" w:hAnsi="Open Sans" w:cs="Open Sans"/>
        </w:rPr>
        <w:t xml:space="preserve"> to criteria </w:t>
      </w:r>
      <w:r w:rsidRPr="002A63BA">
        <w:rPr>
          <w:rFonts w:ascii="Open Sans" w:hAnsi="Open Sans" w:cs="Open Sans"/>
          <w:i/>
        </w:rPr>
        <w:t>j</w:t>
      </w:r>
      <w:r w:rsidRPr="002A63BA">
        <w:rPr>
          <w:rFonts w:ascii="Open Sans" w:hAnsi="Open Sans" w:cs="Open Sans"/>
        </w:rPr>
        <w:t xml:space="preserve">, </w:t>
      </w:r>
      <w:r w:rsidRPr="002A63BA">
        <w:rPr>
          <w:rFonts w:ascii="Cambria Math" w:hAnsi="Cambria Math" w:cs="Cambria Math"/>
        </w:rPr>
        <w:t>𝑤</w:t>
      </w:r>
      <w:r w:rsidRPr="002A63BA">
        <w:rPr>
          <w:rFonts w:ascii="Cambria Math" w:hAnsi="Cambria Math" w:cs="Cambria Math"/>
          <w:vertAlign w:val="subscript"/>
        </w:rPr>
        <w:t>𝑗𝑘</w:t>
      </w:r>
      <w:r w:rsidRPr="002A63BA">
        <w:rPr>
          <w:rFonts w:ascii="Open Sans" w:hAnsi="Open Sans" w:cs="Open Sans"/>
        </w:rPr>
        <w:t xml:space="preserve"> signifies normalised weight calculated for criteria </w:t>
      </w:r>
      <w:r w:rsidRPr="002A63BA">
        <w:rPr>
          <w:rFonts w:ascii="Open Sans" w:hAnsi="Open Sans" w:cs="Open Sans"/>
          <w:i/>
        </w:rPr>
        <w:t xml:space="preserve">j </w:t>
      </w:r>
      <w:r w:rsidRPr="002A63BA">
        <w:rPr>
          <w:rFonts w:ascii="Open Sans" w:hAnsi="Open Sans" w:cs="Open Sans"/>
        </w:rPr>
        <w:t xml:space="preserve">from expert </w:t>
      </w:r>
      <w:r w:rsidRPr="002A63BA">
        <w:rPr>
          <w:rFonts w:ascii="Open Sans" w:hAnsi="Open Sans" w:cs="Open Sans"/>
          <w:i/>
        </w:rPr>
        <w:t>k</w:t>
      </w:r>
      <w:r w:rsidRPr="002A63BA">
        <w:rPr>
          <w:rFonts w:ascii="Open Sans" w:hAnsi="Open Sans" w:cs="Open Sans"/>
        </w:rPr>
        <w:t xml:space="preserve">, and </w:t>
      </w:r>
      <w:r w:rsidRPr="002A63BA">
        <w:rPr>
          <w:rFonts w:ascii="Cambria Math" w:hAnsi="Cambria Math" w:cs="Cambria Math"/>
        </w:rPr>
        <w:t>𝑤</w:t>
      </w:r>
      <w:r w:rsidRPr="002A63BA">
        <w:rPr>
          <w:rFonts w:ascii="Cambria Math" w:hAnsi="Cambria Math" w:cs="Cambria Math"/>
          <w:vertAlign w:val="subscript"/>
        </w:rPr>
        <w:t>𝑗</w:t>
      </w:r>
      <w:r w:rsidRPr="002A63BA">
        <w:rPr>
          <w:rFonts w:ascii="Open Sans" w:hAnsi="Open Sans" w:cs="Open Sans"/>
        </w:rPr>
        <w:t xml:space="preserve"> (2) stands as the total weight for criteria</w:t>
      </w:r>
      <w:r w:rsidRPr="002A63BA">
        <w:rPr>
          <w:rFonts w:ascii="Open Sans" w:hAnsi="Open Sans" w:cs="Open Sans"/>
          <w:i/>
        </w:rPr>
        <w:t xml:space="preserve"> j</w:t>
      </w:r>
      <w:r w:rsidRPr="002A63BA">
        <w:rPr>
          <w:rFonts w:ascii="Open Sans" w:hAnsi="Open Sans" w:cs="Open Sans"/>
        </w:rPr>
        <w:t xml:space="preserve">. The weights are required for multi-criteria decision-making (MCDMthat is known as decision-making with conflicting criteria and a limited number of alternatives </w:t>
      </w:r>
      <w:r w:rsidRPr="002A63BA">
        <w:rPr>
          <w:rFonts w:ascii="Open Sans" w:hAnsi="Open Sans" w:cs="Open Sans"/>
        </w:rPr>
        <w:fldChar w:fldCharType="begin" w:fldLock="1"/>
      </w:r>
      <w:r w:rsidRPr="002A63BA">
        <w:rPr>
          <w:rFonts w:ascii="Open Sans" w:hAnsi="Open Sans" w:cs="Open Sans"/>
        </w:rPr>
        <w:instrText>ADDIN CSL_CITATION {"citationItems":[{"id":"ITEM-1","itemData":{"author":[{"dropping-particle":"","family":"Babić","given":"Zoran","non-dropping-particle":"","parse-names":false,"suffix":""}],"id":"ITEM-1","issued":{"date-parts":[["2017"]]},"publisher":"Sveučilište u Splitu, Ekonomski fakultet","publisher-place":"Split","title":"Modeli i metode poslovnog odlučivanja","type":"book"},"uris":["http://www.mendeley.com/documents/?uuid=58a769d6-7cf4-4172-ba6f-1c2791722db3"]}],"mendeley":{"formattedCitation":"(Babić, 2017)","plainTextFormattedCitation":"(Babić, 2017)","previouslyFormattedCitation":"(Babić, 2017)"},"properties":{"noteIndex":0},"schema":"https://github.com/citation-style-language/schema/raw/master/csl-citation.json"}</w:instrText>
      </w:r>
      <w:r w:rsidRPr="002A63BA">
        <w:rPr>
          <w:rFonts w:ascii="Open Sans" w:hAnsi="Open Sans" w:cs="Open Sans"/>
        </w:rPr>
        <w:fldChar w:fldCharType="separate"/>
      </w:r>
      <w:r w:rsidRPr="002A63BA">
        <w:rPr>
          <w:rFonts w:ascii="Open Sans" w:hAnsi="Open Sans" w:cs="Open Sans"/>
          <w:noProof/>
        </w:rPr>
        <w:t>(Babić, 2017)</w:t>
      </w:r>
      <w:r w:rsidRPr="002A63BA">
        <w:rPr>
          <w:rFonts w:ascii="Open Sans" w:hAnsi="Open Sans" w:cs="Open Sans"/>
        </w:rPr>
        <w:fldChar w:fldCharType="end"/>
      </w:r>
      <w:r w:rsidRPr="002A63BA">
        <w:rPr>
          <w:rFonts w:ascii="Open Sans" w:hAnsi="Open Sans" w:cs="Open Sans"/>
        </w:rPr>
        <w:t xml:space="preserve">. </w:t>
      </w:r>
    </w:p>
    <w:p w14:paraId="618DD108"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research instrument was prepared by the authors following the results of the literature review. It contained the essential criteria (N=15) for selecting an IoT platform that required expert grad. Additionally, experts were asked to add any other criterion in case they thought any was missed by the authors. </w:t>
      </w:r>
    </w:p>
    <w:p w14:paraId="18990B22"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Subsequently, a descriptive comparison of Croatian and Slovenian results has been done as described in Chapter 4. </w:t>
      </w:r>
    </w:p>
    <w:p w14:paraId="16A39D7A" w14:textId="1770BCC7" w:rsidR="00AE101A" w:rsidRPr="002A63BA" w:rsidRDefault="00AE101A" w:rsidP="005B1A5A">
      <w:pPr>
        <w:pStyle w:val="N1"/>
      </w:pPr>
      <w:r w:rsidRPr="002A63BA">
        <w:t xml:space="preserve">RESULTS </w:t>
      </w:r>
    </w:p>
    <w:p w14:paraId="1DDD0360"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lastRenderedPageBreak/>
        <w:t xml:space="preserve">In total, 16 experts participated in the evaluation, half of whom were end-users (N=8) and the other half vendors (N=8). Half of the participants are from Croatia and half from Slovenia. Results of the experts' evaluation yielded additional three criteria: </w:t>
      </w:r>
      <w:r w:rsidRPr="002A63BA">
        <w:rPr>
          <w:rFonts w:ascii="Open Sans" w:hAnsi="Open Sans" w:cs="Open Sans"/>
          <w:i/>
          <w:szCs w:val="22"/>
          <w:lang w:val="en-GB"/>
        </w:rPr>
        <w:t>customer support team</w:t>
      </w:r>
      <w:r w:rsidRPr="002A63BA">
        <w:rPr>
          <w:rFonts w:ascii="Open Sans" w:hAnsi="Open Sans" w:cs="Open Sans"/>
          <w:szCs w:val="22"/>
          <w:lang w:val="en-GB"/>
        </w:rPr>
        <w:t xml:space="preserve">, </w:t>
      </w:r>
      <w:r w:rsidRPr="002A63BA">
        <w:rPr>
          <w:rFonts w:ascii="Open Sans" w:hAnsi="Open Sans" w:cs="Open Sans"/>
          <w:i/>
          <w:szCs w:val="22"/>
          <w:lang w:val="en-GB"/>
        </w:rPr>
        <w:t>intuitive user interface</w:t>
      </w:r>
      <w:r w:rsidRPr="002A63BA">
        <w:rPr>
          <w:rFonts w:ascii="Open Sans" w:hAnsi="Open Sans" w:cs="Open Sans"/>
          <w:szCs w:val="22"/>
          <w:lang w:val="en-GB"/>
        </w:rPr>
        <w:t xml:space="preserve"> and </w:t>
      </w:r>
      <w:r w:rsidRPr="002A63BA">
        <w:rPr>
          <w:rFonts w:ascii="Open Sans" w:hAnsi="Open Sans" w:cs="Open Sans"/>
          <w:i/>
          <w:szCs w:val="22"/>
          <w:lang w:val="en-GB"/>
        </w:rPr>
        <w:t>privacy/data protection</w:t>
      </w:r>
      <w:r w:rsidRPr="002A63BA">
        <w:rPr>
          <w:rFonts w:ascii="Open Sans" w:hAnsi="Open Sans" w:cs="Open Sans"/>
          <w:szCs w:val="22"/>
          <w:lang w:val="en-GB"/>
        </w:rPr>
        <w:t xml:space="preserve">. However, all of them could be considered contained within the listed criteria (Table 1). Criteria weights were calculated for each group of experts and each country, and sorted starting from the highest rated criteria. </w:t>
      </w:r>
    </w:p>
    <w:p w14:paraId="55E2111F" w14:textId="77777777" w:rsidR="00AE101A" w:rsidRPr="002A63BA" w:rsidRDefault="00AE101A" w:rsidP="00FF3EE4">
      <w:pPr>
        <w:pStyle w:val="heading2"/>
        <w:numPr>
          <w:ilvl w:val="0"/>
          <w:numId w:val="0"/>
        </w:numPr>
        <w:spacing w:line="276" w:lineRule="auto"/>
        <w:ind w:left="567" w:hanging="567"/>
        <w:rPr>
          <w:rFonts w:ascii="Open Sans" w:hAnsi="Open Sans" w:cs="Open Sans"/>
          <w:sz w:val="22"/>
        </w:rPr>
      </w:pPr>
      <w:r w:rsidRPr="002A63BA">
        <w:rPr>
          <w:rFonts w:ascii="Open Sans" w:hAnsi="Open Sans" w:cs="Open Sans"/>
          <w:sz w:val="22"/>
        </w:rPr>
        <w:t>Croatia</w:t>
      </w:r>
    </w:p>
    <w:p w14:paraId="5CB7BFBB" w14:textId="77777777" w:rsidR="00AE101A" w:rsidRPr="002A63BA" w:rsidRDefault="00AE101A" w:rsidP="005B1A5A">
      <w:pPr>
        <w:pStyle w:val="SORtekst"/>
        <w:spacing w:after="240" w:line="276" w:lineRule="auto"/>
        <w:rPr>
          <w:rFonts w:ascii="Open Sans" w:hAnsi="Open Sans" w:cs="Open Sans"/>
          <w:szCs w:val="22"/>
          <w:lang w:val="en-GB"/>
        </w:rPr>
      </w:pPr>
      <w:r w:rsidRPr="002A63BA">
        <w:rPr>
          <w:rFonts w:ascii="Open Sans" w:hAnsi="Open Sans" w:cs="Open Sans"/>
          <w:szCs w:val="22"/>
          <w:lang w:val="en-GB"/>
        </w:rPr>
        <w:t xml:space="preserve">Calculated and sorted weights for Croatian vendors and end-users are shown in Table 2. </w:t>
      </w:r>
    </w:p>
    <w:p w14:paraId="1043513D" w14:textId="77777777" w:rsidR="00AE101A" w:rsidRPr="005B1A5A" w:rsidRDefault="00AE101A" w:rsidP="00FF3EE4">
      <w:pPr>
        <w:pStyle w:val="Opisslike"/>
        <w:keepNext/>
        <w:spacing w:line="276" w:lineRule="auto"/>
        <w:rPr>
          <w:rFonts w:ascii="Open Sans" w:hAnsi="Open Sans" w:cs="Open Sans"/>
          <w:i w:val="0"/>
          <w:iCs w:val="0"/>
          <w:sz w:val="22"/>
          <w:szCs w:val="22"/>
        </w:rPr>
      </w:pPr>
      <w:r w:rsidRPr="005B1A5A">
        <w:rPr>
          <w:rFonts w:ascii="Open Sans" w:hAnsi="Open Sans" w:cs="Open Sans"/>
          <w:i w:val="0"/>
          <w:iCs w:val="0"/>
          <w:sz w:val="22"/>
          <w:szCs w:val="22"/>
        </w:rPr>
        <w:t xml:space="preserve">Table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Table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2</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 Criteria weights according to vendors and end-users in Croatia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63"/>
        <w:gridCol w:w="1368"/>
        <w:gridCol w:w="146"/>
        <w:gridCol w:w="2263"/>
        <w:gridCol w:w="1388"/>
      </w:tblGrid>
      <w:tr w:rsidR="00AE101A" w:rsidRPr="002A63BA" w14:paraId="4B60D51C" w14:textId="77777777" w:rsidTr="005B1A5A">
        <w:trPr>
          <w:cantSplit/>
          <w:jc w:val="center"/>
        </w:trPr>
        <w:tc>
          <w:tcPr>
            <w:tcW w:w="0" w:type="auto"/>
            <w:vAlign w:val="center"/>
          </w:tcPr>
          <w:p w14:paraId="01903EA5"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Criteria</w:t>
            </w:r>
          </w:p>
        </w:tc>
        <w:tc>
          <w:tcPr>
            <w:tcW w:w="0" w:type="auto"/>
            <w:vAlign w:val="center"/>
          </w:tcPr>
          <w:p w14:paraId="15BFFD3C"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Weight according to vendors</w:t>
            </w:r>
          </w:p>
        </w:tc>
        <w:tc>
          <w:tcPr>
            <w:tcW w:w="0" w:type="auto"/>
            <w:shd w:val="clear" w:color="auto" w:fill="D9D9D9" w:themeFill="background1" w:themeFillShade="D9"/>
            <w:vAlign w:val="center"/>
          </w:tcPr>
          <w:p w14:paraId="0162B09B" w14:textId="77777777" w:rsidR="00AE101A" w:rsidRPr="002A63BA" w:rsidRDefault="00AE101A" w:rsidP="00FF3EE4">
            <w:pPr>
              <w:pStyle w:val="SORtekst"/>
              <w:spacing w:before="0" w:line="276" w:lineRule="auto"/>
              <w:jc w:val="center"/>
              <w:rPr>
                <w:rFonts w:ascii="Open Sans" w:hAnsi="Open Sans" w:cs="Open Sans"/>
                <w:b/>
                <w:i/>
                <w:szCs w:val="22"/>
                <w:lang w:val="en-GB"/>
              </w:rPr>
            </w:pPr>
          </w:p>
        </w:tc>
        <w:tc>
          <w:tcPr>
            <w:tcW w:w="0" w:type="auto"/>
            <w:vAlign w:val="center"/>
          </w:tcPr>
          <w:p w14:paraId="421DE610"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Criteria</w:t>
            </w:r>
          </w:p>
        </w:tc>
        <w:tc>
          <w:tcPr>
            <w:tcW w:w="0" w:type="auto"/>
            <w:vAlign w:val="center"/>
          </w:tcPr>
          <w:p w14:paraId="100FDB68"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Weight according to end-users</w:t>
            </w:r>
          </w:p>
        </w:tc>
      </w:tr>
      <w:tr w:rsidR="00AE101A" w:rsidRPr="002A63BA" w14:paraId="78E04033" w14:textId="77777777" w:rsidTr="005B1A5A">
        <w:trPr>
          <w:jc w:val="center"/>
        </w:trPr>
        <w:tc>
          <w:tcPr>
            <w:tcW w:w="0" w:type="auto"/>
            <w:shd w:val="clear" w:color="auto" w:fill="auto"/>
            <w:vAlign w:val="center"/>
          </w:tcPr>
          <w:p w14:paraId="5CDC731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Device management (w7)</w:t>
            </w:r>
          </w:p>
        </w:tc>
        <w:tc>
          <w:tcPr>
            <w:tcW w:w="0" w:type="auto"/>
            <w:shd w:val="clear" w:color="000000" w:fill="FFC7CE"/>
            <w:vAlign w:val="center"/>
          </w:tcPr>
          <w:p w14:paraId="1037B34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0.079113</w:t>
            </w:r>
          </w:p>
        </w:tc>
        <w:tc>
          <w:tcPr>
            <w:tcW w:w="0" w:type="auto"/>
            <w:shd w:val="clear" w:color="auto" w:fill="D9D9D9" w:themeFill="background1" w:themeFillShade="D9"/>
            <w:vAlign w:val="center"/>
          </w:tcPr>
          <w:p w14:paraId="43E5DC60"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64441515"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functionalities (w3)</w:t>
            </w:r>
          </w:p>
        </w:tc>
        <w:tc>
          <w:tcPr>
            <w:tcW w:w="0" w:type="auto"/>
            <w:shd w:val="clear" w:color="000000" w:fill="FFC7CE"/>
            <w:vAlign w:val="center"/>
          </w:tcPr>
          <w:p w14:paraId="22E9A80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0.079803</w:t>
            </w:r>
          </w:p>
        </w:tc>
      </w:tr>
      <w:tr w:rsidR="00AE101A" w:rsidRPr="002A63BA" w14:paraId="6E104738" w14:textId="77777777" w:rsidTr="005B1A5A">
        <w:trPr>
          <w:jc w:val="center"/>
        </w:trPr>
        <w:tc>
          <w:tcPr>
            <w:tcW w:w="0" w:type="auto"/>
            <w:shd w:val="clear" w:color="auto" w:fill="auto"/>
            <w:vAlign w:val="center"/>
          </w:tcPr>
          <w:p w14:paraId="4E0BEA0D" w14:textId="77777777" w:rsidR="00AE101A" w:rsidRPr="002A63BA" w:rsidRDefault="00AE101A" w:rsidP="00FF3EE4">
            <w:pPr>
              <w:pStyle w:val="SORtekst"/>
              <w:spacing w:before="0" w:line="276" w:lineRule="auto"/>
              <w:jc w:val="center"/>
              <w:rPr>
                <w:rFonts w:ascii="Open Sans" w:hAnsi="Open Sans" w:cs="Open Sans"/>
                <w:szCs w:val="22"/>
                <w:vertAlign w:val="subscript"/>
                <w:lang w:val="en-GB"/>
              </w:rPr>
            </w:pPr>
            <w:r w:rsidRPr="002A63BA">
              <w:rPr>
                <w:rFonts w:ascii="Open Sans" w:hAnsi="Open Sans" w:cs="Open Sans"/>
                <w:color w:val="000000"/>
                <w:szCs w:val="22"/>
              </w:rPr>
              <w:t>Platform scalability (w13)</w:t>
            </w:r>
          </w:p>
        </w:tc>
        <w:tc>
          <w:tcPr>
            <w:tcW w:w="0" w:type="auto"/>
            <w:shd w:val="clear" w:color="000000" w:fill="FFC7CE"/>
            <w:vAlign w:val="center"/>
          </w:tcPr>
          <w:p w14:paraId="3A1EC29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0.078988</w:t>
            </w:r>
          </w:p>
        </w:tc>
        <w:tc>
          <w:tcPr>
            <w:tcW w:w="0" w:type="auto"/>
            <w:shd w:val="clear" w:color="auto" w:fill="D9D9D9" w:themeFill="background1" w:themeFillShade="D9"/>
            <w:vAlign w:val="center"/>
          </w:tcPr>
          <w:p w14:paraId="491B50AD"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7F2DD6E"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security (w12)</w:t>
            </w:r>
          </w:p>
        </w:tc>
        <w:tc>
          <w:tcPr>
            <w:tcW w:w="0" w:type="auto"/>
            <w:shd w:val="clear" w:color="000000" w:fill="FFC7CE"/>
            <w:vAlign w:val="center"/>
          </w:tcPr>
          <w:p w14:paraId="7B25A3F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0.077991</w:t>
            </w:r>
          </w:p>
        </w:tc>
      </w:tr>
      <w:tr w:rsidR="00AE101A" w:rsidRPr="002A63BA" w14:paraId="6E200AB1" w14:textId="77777777" w:rsidTr="005B1A5A">
        <w:trPr>
          <w:jc w:val="center"/>
        </w:trPr>
        <w:tc>
          <w:tcPr>
            <w:tcW w:w="0" w:type="auto"/>
            <w:shd w:val="clear" w:color="auto" w:fill="auto"/>
            <w:vAlign w:val="center"/>
          </w:tcPr>
          <w:p w14:paraId="01891F5E"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security (w12)</w:t>
            </w:r>
          </w:p>
        </w:tc>
        <w:tc>
          <w:tcPr>
            <w:tcW w:w="0" w:type="auto"/>
            <w:shd w:val="clear" w:color="000000" w:fill="FFC7CE"/>
            <w:vAlign w:val="center"/>
          </w:tcPr>
          <w:p w14:paraId="0484FB8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0.078595</w:t>
            </w:r>
          </w:p>
        </w:tc>
        <w:tc>
          <w:tcPr>
            <w:tcW w:w="0" w:type="auto"/>
            <w:shd w:val="clear" w:color="auto" w:fill="D9D9D9" w:themeFill="background1" w:themeFillShade="D9"/>
            <w:vAlign w:val="center"/>
          </w:tcPr>
          <w:p w14:paraId="7CB2C548"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714752E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scalability (w13)</w:t>
            </w:r>
          </w:p>
        </w:tc>
        <w:tc>
          <w:tcPr>
            <w:tcW w:w="0" w:type="auto"/>
            <w:shd w:val="clear" w:color="000000" w:fill="FFC7CE"/>
            <w:vAlign w:val="center"/>
          </w:tcPr>
          <w:p w14:paraId="58451AC0"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0.075378</w:t>
            </w:r>
          </w:p>
        </w:tc>
      </w:tr>
      <w:tr w:rsidR="00AE101A" w:rsidRPr="002A63BA" w14:paraId="210EC42C" w14:textId="77777777" w:rsidTr="005B1A5A">
        <w:trPr>
          <w:jc w:val="center"/>
        </w:trPr>
        <w:tc>
          <w:tcPr>
            <w:tcW w:w="0" w:type="auto"/>
            <w:shd w:val="clear" w:color="auto" w:fill="auto"/>
            <w:vAlign w:val="center"/>
          </w:tcPr>
          <w:p w14:paraId="5E472B6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price (w1)</w:t>
            </w:r>
          </w:p>
        </w:tc>
        <w:tc>
          <w:tcPr>
            <w:tcW w:w="0" w:type="auto"/>
            <w:shd w:val="clear" w:color="auto" w:fill="auto"/>
            <w:vAlign w:val="center"/>
          </w:tcPr>
          <w:p w14:paraId="6B59C9A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0.078115</w:t>
            </w:r>
          </w:p>
        </w:tc>
        <w:tc>
          <w:tcPr>
            <w:tcW w:w="0" w:type="auto"/>
            <w:shd w:val="clear" w:color="auto" w:fill="D9D9D9" w:themeFill="background1" w:themeFillShade="D9"/>
            <w:vAlign w:val="center"/>
          </w:tcPr>
          <w:p w14:paraId="6E9978A2"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10B5D9F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portability (w10)</w:t>
            </w:r>
          </w:p>
        </w:tc>
        <w:tc>
          <w:tcPr>
            <w:tcW w:w="0" w:type="auto"/>
            <w:shd w:val="clear" w:color="000000" w:fill="FFC7CE"/>
            <w:vAlign w:val="center"/>
          </w:tcPr>
          <w:p w14:paraId="2B7776A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0.075338</w:t>
            </w:r>
          </w:p>
        </w:tc>
      </w:tr>
      <w:tr w:rsidR="00AE101A" w:rsidRPr="002A63BA" w14:paraId="6326E8CA" w14:textId="77777777" w:rsidTr="005B1A5A">
        <w:trPr>
          <w:jc w:val="center"/>
        </w:trPr>
        <w:tc>
          <w:tcPr>
            <w:tcW w:w="0" w:type="auto"/>
            <w:shd w:val="clear" w:color="auto" w:fill="auto"/>
            <w:vAlign w:val="center"/>
          </w:tcPr>
          <w:p w14:paraId="4E88A2F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functionalities (w3)</w:t>
            </w:r>
          </w:p>
        </w:tc>
        <w:tc>
          <w:tcPr>
            <w:tcW w:w="0" w:type="auto"/>
            <w:shd w:val="clear" w:color="auto" w:fill="auto"/>
            <w:vAlign w:val="center"/>
          </w:tcPr>
          <w:p w14:paraId="6AE1263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0.076955</w:t>
            </w:r>
          </w:p>
        </w:tc>
        <w:tc>
          <w:tcPr>
            <w:tcW w:w="0" w:type="auto"/>
            <w:shd w:val="clear" w:color="auto" w:fill="D9D9D9" w:themeFill="background1" w:themeFillShade="D9"/>
            <w:vAlign w:val="center"/>
          </w:tcPr>
          <w:p w14:paraId="5A84CEB2"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3FA691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Device management (w7)</w:t>
            </w:r>
          </w:p>
        </w:tc>
        <w:tc>
          <w:tcPr>
            <w:tcW w:w="0" w:type="auto"/>
            <w:shd w:val="clear" w:color="auto" w:fill="auto"/>
            <w:vAlign w:val="center"/>
          </w:tcPr>
          <w:p w14:paraId="289E7CC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0.073527</w:t>
            </w:r>
          </w:p>
        </w:tc>
      </w:tr>
      <w:tr w:rsidR="00AE101A" w:rsidRPr="002A63BA" w14:paraId="215E7776" w14:textId="77777777" w:rsidTr="005B1A5A">
        <w:trPr>
          <w:jc w:val="center"/>
        </w:trPr>
        <w:tc>
          <w:tcPr>
            <w:tcW w:w="0" w:type="auto"/>
            <w:shd w:val="clear" w:color="auto" w:fill="auto"/>
            <w:vAlign w:val="center"/>
          </w:tcPr>
          <w:p w14:paraId="66BD742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usability (w15)</w:t>
            </w:r>
          </w:p>
        </w:tc>
        <w:tc>
          <w:tcPr>
            <w:tcW w:w="0" w:type="auto"/>
            <w:shd w:val="clear" w:color="auto" w:fill="auto"/>
            <w:vAlign w:val="center"/>
          </w:tcPr>
          <w:p w14:paraId="0D1F1102"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0.072585</w:t>
            </w:r>
          </w:p>
        </w:tc>
        <w:tc>
          <w:tcPr>
            <w:tcW w:w="0" w:type="auto"/>
            <w:shd w:val="clear" w:color="auto" w:fill="D9D9D9" w:themeFill="background1" w:themeFillShade="D9"/>
            <w:vAlign w:val="center"/>
          </w:tcPr>
          <w:p w14:paraId="7BDC3CB6"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4B11FAC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usability (w15)</w:t>
            </w:r>
          </w:p>
        </w:tc>
        <w:tc>
          <w:tcPr>
            <w:tcW w:w="0" w:type="auto"/>
            <w:shd w:val="clear" w:color="auto" w:fill="auto"/>
            <w:vAlign w:val="center"/>
          </w:tcPr>
          <w:p w14:paraId="0BCF0E2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0.071295</w:t>
            </w:r>
          </w:p>
        </w:tc>
      </w:tr>
      <w:tr w:rsidR="00AE101A" w:rsidRPr="002A63BA" w14:paraId="197D4A67" w14:textId="77777777" w:rsidTr="005B1A5A">
        <w:trPr>
          <w:jc w:val="center"/>
        </w:trPr>
        <w:tc>
          <w:tcPr>
            <w:tcW w:w="0" w:type="auto"/>
            <w:shd w:val="clear" w:color="auto" w:fill="auto"/>
            <w:vAlign w:val="center"/>
          </w:tcPr>
          <w:p w14:paraId="4019B16D"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reliability (w9)</w:t>
            </w:r>
          </w:p>
        </w:tc>
        <w:tc>
          <w:tcPr>
            <w:tcW w:w="0" w:type="auto"/>
            <w:shd w:val="clear" w:color="auto" w:fill="auto"/>
            <w:vAlign w:val="center"/>
          </w:tcPr>
          <w:p w14:paraId="34B867F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0.069821</w:t>
            </w:r>
          </w:p>
        </w:tc>
        <w:tc>
          <w:tcPr>
            <w:tcW w:w="0" w:type="auto"/>
            <w:shd w:val="clear" w:color="auto" w:fill="D9D9D9" w:themeFill="background1" w:themeFillShade="D9"/>
            <w:vAlign w:val="center"/>
          </w:tcPr>
          <w:p w14:paraId="2179E9AB"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5D0604A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 xml:space="preserve">Variety of data analytics </w:t>
            </w:r>
            <w:r w:rsidRPr="002A63BA">
              <w:rPr>
                <w:rFonts w:ascii="Open Sans" w:hAnsi="Open Sans" w:cs="Open Sans"/>
                <w:color w:val="000000"/>
                <w:szCs w:val="22"/>
              </w:rPr>
              <w:lastRenderedPageBreak/>
              <w:t>tools/possibilities (w11)</w:t>
            </w:r>
          </w:p>
        </w:tc>
        <w:tc>
          <w:tcPr>
            <w:tcW w:w="0" w:type="auto"/>
            <w:shd w:val="clear" w:color="auto" w:fill="auto"/>
            <w:vAlign w:val="center"/>
          </w:tcPr>
          <w:p w14:paraId="4AEDA26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lastRenderedPageBreak/>
              <w:t>0.068741</w:t>
            </w:r>
          </w:p>
        </w:tc>
      </w:tr>
      <w:tr w:rsidR="00AE101A" w:rsidRPr="002A63BA" w14:paraId="3F2ABA19" w14:textId="77777777" w:rsidTr="005B1A5A">
        <w:trPr>
          <w:jc w:val="center"/>
        </w:trPr>
        <w:tc>
          <w:tcPr>
            <w:tcW w:w="0" w:type="auto"/>
            <w:shd w:val="clear" w:color="auto" w:fill="auto"/>
            <w:vAlign w:val="center"/>
          </w:tcPr>
          <w:p w14:paraId="769C0F3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portability (w10)</w:t>
            </w:r>
          </w:p>
        </w:tc>
        <w:tc>
          <w:tcPr>
            <w:tcW w:w="0" w:type="auto"/>
            <w:shd w:val="clear" w:color="auto" w:fill="auto"/>
            <w:vAlign w:val="center"/>
          </w:tcPr>
          <w:p w14:paraId="5C01450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0.068907</w:t>
            </w:r>
          </w:p>
        </w:tc>
        <w:tc>
          <w:tcPr>
            <w:tcW w:w="0" w:type="auto"/>
            <w:shd w:val="clear" w:color="auto" w:fill="D9D9D9" w:themeFill="background1" w:themeFillShade="D9"/>
            <w:vAlign w:val="center"/>
          </w:tcPr>
          <w:p w14:paraId="37C18A96"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16EE780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price (w1)</w:t>
            </w:r>
          </w:p>
        </w:tc>
        <w:tc>
          <w:tcPr>
            <w:tcW w:w="0" w:type="auto"/>
            <w:shd w:val="clear" w:color="auto" w:fill="auto"/>
            <w:vAlign w:val="center"/>
          </w:tcPr>
          <w:p w14:paraId="5580899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0.066489</w:t>
            </w:r>
          </w:p>
        </w:tc>
      </w:tr>
      <w:tr w:rsidR="00AE101A" w:rsidRPr="002A63BA" w14:paraId="2CC08D4F" w14:textId="77777777" w:rsidTr="005B1A5A">
        <w:trPr>
          <w:jc w:val="center"/>
        </w:trPr>
        <w:tc>
          <w:tcPr>
            <w:tcW w:w="0" w:type="auto"/>
            <w:shd w:val="clear" w:color="auto" w:fill="auto"/>
            <w:vAlign w:val="center"/>
          </w:tcPr>
          <w:p w14:paraId="653227E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Variety of data analytics tools/possibilities (w11)</w:t>
            </w:r>
          </w:p>
        </w:tc>
        <w:tc>
          <w:tcPr>
            <w:tcW w:w="0" w:type="auto"/>
            <w:shd w:val="clear" w:color="auto" w:fill="auto"/>
            <w:vAlign w:val="center"/>
          </w:tcPr>
          <w:p w14:paraId="5032769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0.06439</w:t>
            </w:r>
          </w:p>
        </w:tc>
        <w:tc>
          <w:tcPr>
            <w:tcW w:w="0" w:type="auto"/>
            <w:shd w:val="clear" w:color="auto" w:fill="D9D9D9" w:themeFill="background1" w:themeFillShade="D9"/>
            <w:vAlign w:val="center"/>
          </w:tcPr>
          <w:p w14:paraId="3AFBF08B"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6E47EA1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reliability (w9</w:t>
            </w:r>
          </w:p>
        </w:tc>
        <w:tc>
          <w:tcPr>
            <w:tcW w:w="0" w:type="auto"/>
            <w:shd w:val="clear" w:color="auto" w:fill="auto"/>
            <w:vAlign w:val="center"/>
          </w:tcPr>
          <w:p w14:paraId="57ECA69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0.065058</w:t>
            </w:r>
          </w:p>
        </w:tc>
      </w:tr>
      <w:tr w:rsidR="00AE101A" w:rsidRPr="002A63BA" w14:paraId="12162721" w14:textId="77777777" w:rsidTr="005B1A5A">
        <w:trPr>
          <w:jc w:val="center"/>
        </w:trPr>
        <w:tc>
          <w:tcPr>
            <w:tcW w:w="0" w:type="auto"/>
            <w:shd w:val="clear" w:color="auto" w:fill="auto"/>
            <w:vAlign w:val="center"/>
          </w:tcPr>
          <w:p w14:paraId="71F9D2FB"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Usefulness of visualization (w6)</w:t>
            </w:r>
          </w:p>
        </w:tc>
        <w:tc>
          <w:tcPr>
            <w:tcW w:w="0" w:type="auto"/>
            <w:shd w:val="clear" w:color="auto" w:fill="auto"/>
            <w:vAlign w:val="center"/>
          </w:tcPr>
          <w:p w14:paraId="181FEBB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0.05993</w:t>
            </w:r>
          </w:p>
        </w:tc>
        <w:tc>
          <w:tcPr>
            <w:tcW w:w="0" w:type="auto"/>
            <w:shd w:val="clear" w:color="auto" w:fill="D9D9D9" w:themeFill="background1" w:themeFillShade="D9"/>
            <w:vAlign w:val="center"/>
          </w:tcPr>
          <w:p w14:paraId="1BA34B37"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62892E22"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Integration flexibility (w5)</w:t>
            </w:r>
          </w:p>
        </w:tc>
        <w:tc>
          <w:tcPr>
            <w:tcW w:w="0" w:type="auto"/>
            <w:shd w:val="clear" w:color="auto" w:fill="auto"/>
            <w:vAlign w:val="center"/>
          </w:tcPr>
          <w:p w14:paraId="43BBAE2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0.064618</w:t>
            </w:r>
          </w:p>
        </w:tc>
      </w:tr>
      <w:tr w:rsidR="00AE101A" w:rsidRPr="002A63BA" w14:paraId="37A22246" w14:textId="77777777" w:rsidTr="005B1A5A">
        <w:trPr>
          <w:jc w:val="center"/>
        </w:trPr>
        <w:tc>
          <w:tcPr>
            <w:tcW w:w="0" w:type="auto"/>
            <w:shd w:val="clear" w:color="auto" w:fill="auto"/>
            <w:vAlign w:val="center"/>
          </w:tcPr>
          <w:p w14:paraId="76E7DF99"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Integration flexibility (w5)</w:t>
            </w:r>
          </w:p>
        </w:tc>
        <w:tc>
          <w:tcPr>
            <w:tcW w:w="0" w:type="auto"/>
            <w:shd w:val="clear" w:color="auto" w:fill="auto"/>
            <w:vAlign w:val="center"/>
          </w:tcPr>
          <w:p w14:paraId="3879DCC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0.05868</w:t>
            </w:r>
          </w:p>
        </w:tc>
        <w:tc>
          <w:tcPr>
            <w:tcW w:w="0" w:type="auto"/>
            <w:shd w:val="clear" w:color="auto" w:fill="D9D9D9" w:themeFill="background1" w:themeFillShade="D9"/>
            <w:vAlign w:val="center"/>
          </w:tcPr>
          <w:p w14:paraId="3617A339"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43DD8EE2"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Usefulness of visualization (w6)</w:t>
            </w:r>
          </w:p>
        </w:tc>
        <w:tc>
          <w:tcPr>
            <w:tcW w:w="0" w:type="auto"/>
            <w:shd w:val="clear" w:color="auto" w:fill="auto"/>
            <w:vAlign w:val="center"/>
          </w:tcPr>
          <w:p w14:paraId="25BF516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0.062425</w:t>
            </w:r>
          </w:p>
        </w:tc>
      </w:tr>
      <w:tr w:rsidR="00AE101A" w:rsidRPr="002A63BA" w14:paraId="0A0003B7" w14:textId="77777777" w:rsidTr="005B1A5A">
        <w:trPr>
          <w:jc w:val="center"/>
        </w:trPr>
        <w:tc>
          <w:tcPr>
            <w:tcW w:w="0" w:type="auto"/>
            <w:shd w:val="clear" w:color="auto" w:fill="auto"/>
            <w:vAlign w:val="center"/>
          </w:tcPr>
          <w:p w14:paraId="6209B311"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availability (w2)</w:t>
            </w:r>
          </w:p>
        </w:tc>
        <w:tc>
          <w:tcPr>
            <w:tcW w:w="0" w:type="auto"/>
            <w:shd w:val="clear" w:color="auto" w:fill="auto"/>
            <w:vAlign w:val="center"/>
          </w:tcPr>
          <w:p w14:paraId="292772A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0.055584</w:t>
            </w:r>
          </w:p>
        </w:tc>
        <w:tc>
          <w:tcPr>
            <w:tcW w:w="0" w:type="auto"/>
            <w:shd w:val="clear" w:color="auto" w:fill="D9D9D9" w:themeFill="background1" w:themeFillShade="D9"/>
            <w:vAlign w:val="center"/>
          </w:tcPr>
          <w:p w14:paraId="69659A6C"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79E21ED0"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provider quality and reputation (w4)</w:t>
            </w:r>
          </w:p>
        </w:tc>
        <w:tc>
          <w:tcPr>
            <w:tcW w:w="0" w:type="auto"/>
            <w:shd w:val="clear" w:color="auto" w:fill="auto"/>
            <w:vAlign w:val="center"/>
          </w:tcPr>
          <w:p w14:paraId="72C4FBE2"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0.057639</w:t>
            </w:r>
          </w:p>
        </w:tc>
      </w:tr>
      <w:tr w:rsidR="00AE101A" w:rsidRPr="002A63BA" w14:paraId="002FE401" w14:textId="77777777" w:rsidTr="005B1A5A">
        <w:trPr>
          <w:jc w:val="center"/>
        </w:trPr>
        <w:tc>
          <w:tcPr>
            <w:tcW w:w="0" w:type="auto"/>
            <w:shd w:val="clear" w:color="auto" w:fill="auto"/>
            <w:vAlign w:val="center"/>
          </w:tcPr>
          <w:p w14:paraId="3D9B4BA3"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Standardization (w14)</w:t>
            </w:r>
          </w:p>
        </w:tc>
        <w:tc>
          <w:tcPr>
            <w:tcW w:w="0" w:type="auto"/>
            <w:shd w:val="clear" w:color="auto" w:fill="auto"/>
            <w:vAlign w:val="center"/>
          </w:tcPr>
          <w:p w14:paraId="09B182F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0.055387</w:t>
            </w:r>
          </w:p>
        </w:tc>
        <w:tc>
          <w:tcPr>
            <w:tcW w:w="0" w:type="auto"/>
            <w:shd w:val="clear" w:color="auto" w:fill="D9D9D9" w:themeFill="background1" w:themeFillShade="D9"/>
            <w:vAlign w:val="center"/>
          </w:tcPr>
          <w:p w14:paraId="79FABE0F"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235A2E5A"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availability (w2)</w:t>
            </w:r>
          </w:p>
        </w:tc>
        <w:tc>
          <w:tcPr>
            <w:tcW w:w="0" w:type="auto"/>
            <w:shd w:val="clear" w:color="auto" w:fill="auto"/>
            <w:vAlign w:val="center"/>
          </w:tcPr>
          <w:p w14:paraId="55B0F18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0.056438</w:t>
            </w:r>
          </w:p>
        </w:tc>
      </w:tr>
      <w:tr w:rsidR="00AE101A" w:rsidRPr="002A63BA" w14:paraId="134BE027" w14:textId="77777777" w:rsidTr="005B1A5A">
        <w:trPr>
          <w:jc w:val="center"/>
        </w:trPr>
        <w:tc>
          <w:tcPr>
            <w:tcW w:w="0" w:type="auto"/>
            <w:shd w:val="clear" w:color="auto" w:fill="auto"/>
            <w:vAlign w:val="center"/>
          </w:tcPr>
          <w:p w14:paraId="484AA0CD"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provider quality and reputation (w4)</w:t>
            </w:r>
          </w:p>
        </w:tc>
        <w:tc>
          <w:tcPr>
            <w:tcW w:w="0" w:type="auto"/>
            <w:shd w:val="clear" w:color="auto" w:fill="auto"/>
            <w:vAlign w:val="center"/>
          </w:tcPr>
          <w:p w14:paraId="7207B94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0.051923</w:t>
            </w:r>
          </w:p>
        </w:tc>
        <w:tc>
          <w:tcPr>
            <w:tcW w:w="0" w:type="auto"/>
            <w:shd w:val="clear" w:color="auto" w:fill="D9D9D9" w:themeFill="background1" w:themeFillShade="D9"/>
            <w:vAlign w:val="center"/>
          </w:tcPr>
          <w:p w14:paraId="2D5BDB18"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7F0FCC3"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Supportability (from vendor/provider) (w8)</w:t>
            </w:r>
          </w:p>
        </w:tc>
        <w:tc>
          <w:tcPr>
            <w:tcW w:w="0" w:type="auto"/>
            <w:shd w:val="clear" w:color="auto" w:fill="auto"/>
            <w:vAlign w:val="center"/>
          </w:tcPr>
          <w:p w14:paraId="331DA4E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0.053536</w:t>
            </w:r>
          </w:p>
        </w:tc>
      </w:tr>
      <w:tr w:rsidR="00AE101A" w:rsidRPr="002A63BA" w14:paraId="16F7C83B" w14:textId="77777777" w:rsidTr="005B1A5A">
        <w:trPr>
          <w:jc w:val="center"/>
        </w:trPr>
        <w:tc>
          <w:tcPr>
            <w:tcW w:w="0" w:type="auto"/>
            <w:shd w:val="clear" w:color="auto" w:fill="auto"/>
            <w:vAlign w:val="center"/>
          </w:tcPr>
          <w:p w14:paraId="60E2EE6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Supportability (from vendor/provider) (w8)</w:t>
            </w:r>
          </w:p>
        </w:tc>
        <w:tc>
          <w:tcPr>
            <w:tcW w:w="0" w:type="auto"/>
            <w:shd w:val="clear" w:color="auto" w:fill="auto"/>
            <w:vAlign w:val="center"/>
          </w:tcPr>
          <w:p w14:paraId="7CE145D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b/>
                <w:bCs/>
                <w:color w:val="000000"/>
                <w:szCs w:val="22"/>
              </w:rPr>
              <w:t>0.051026</w:t>
            </w:r>
          </w:p>
        </w:tc>
        <w:tc>
          <w:tcPr>
            <w:tcW w:w="0" w:type="auto"/>
            <w:shd w:val="clear" w:color="auto" w:fill="D9D9D9" w:themeFill="background1" w:themeFillShade="D9"/>
            <w:vAlign w:val="center"/>
          </w:tcPr>
          <w:p w14:paraId="6940B061"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71BB557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Standardization  (w14)</w:t>
            </w:r>
          </w:p>
        </w:tc>
        <w:tc>
          <w:tcPr>
            <w:tcW w:w="0" w:type="auto"/>
            <w:shd w:val="clear" w:color="auto" w:fill="auto"/>
            <w:vAlign w:val="center"/>
          </w:tcPr>
          <w:p w14:paraId="3ACAF3CD"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b/>
                <w:bCs/>
                <w:color w:val="000000"/>
                <w:szCs w:val="22"/>
              </w:rPr>
              <w:t>0.051725</w:t>
            </w:r>
          </w:p>
        </w:tc>
      </w:tr>
    </w:tbl>
    <w:p w14:paraId="3AC94139" w14:textId="77777777" w:rsidR="00AE101A" w:rsidRPr="002A63BA" w:rsidRDefault="00AE101A" w:rsidP="00FF3EE4">
      <w:pPr>
        <w:pStyle w:val="SORtekst"/>
        <w:spacing w:line="276" w:lineRule="auto"/>
        <w:rPr>
          <w:rFonts w:ascii="Open Sans" w:hAnsi="Open Sans" w:cs="Open Sans"/>
          <w:szCs w:val="22"/>
          <w:lang w:val="en-GB"/>
        </w:rPr>
      </w:pPr>
    </w:p>
    <w:p w14:paraId="55D7ED9D"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As seen in Table 2, the most important criteria for end-users while selecting the IoT platform is </w:t>
      </w:r>
      <w:r w:rsidRPr="002A63BA">
        <w:rPr>
          <w:rFonts w:ascii="Open Sans" w:hAnsi="Open Sans" w:cs="Open Sans"/>
          <w:i/>
          <w:szCs w:val="22"/>
          <w:lang w:val="en-GB"/>
        </w:rPr>
        <w:t>functionality</w:t>
      </w:r>
      <w:r w:rsidRPr="002A63BA">
        <w:rPr>
          <w:rFonts w:ascii="Open Sans" w:hAnsi="Open Sans" w:cs="Open Sans"/>
          <w:szCs w:val="22"/>
          <w:lang w:val="en-GB"/>
        </w:rPr>
        <w:t xml:space="preserve">. It is interesting to point out that, except for criteria </w:t>
      </w:r>
      <w:r w:rsidRPr="002A63BA">
        <w:rPr>
          <w:rFonts w:ascii="Open Sans" w:hAnsi="Open Sans" w:cs="Open Sans"/>
          <w:i/>
          <w:szCs w:val="22"/>
          <w:lang w:val="en-GB"/>
        </w:rPr>
        <w:t>price</w:t>
      </w:r>
      <w:r w:rsidRPr="002A63BA">
        <w:rPr>
          <w:rFonts w:ascii="Open Sans" w:hAnsi="Open Sans" w:cs="Open Sans"/>
          <w:szCs w:val="22"/>
          <w:lang w:val="en-GB"/>
        </w:rPr>
        <w:t xml:space="preserve">, every other criterion has been rated as more important by IoT vendors than it has been by end-users. Unexpectedly, </w:t>
      </w:r>
      <w:r w:rsidRPr="002A63BA">
        <w:rPr>
          <w:rFonts w:ascii="Open Sans" w:hAnsi="Open Sans" w:cs="Open Sans"/>
          <w:i/>
          <w:szCs w:val="22"/>
          <w:lang w:val="en-GB"/>
        </w:rPr>
        <w:t>price</w:t>
      </w:r>
      <w:r w:rsidRPr="002A63BA">
        <w:rPr>
          <w:rFonts w:ascii="Open Sans" w:hAnsi="Open Sans" w:cs="Open Sans"/>
          <w:szCs w:val="22"/>
          <w:lang w:val="en-GB"/>
        </w:rPr>
        <w:t xml:space="preserve"> is considered a more important criterion by vendors than end-users in Croatia. However, </w:t>
      </w:r>
      <w:r w:rsidRPr="002A63BA">
        <w:rPr>
          <w:rFonts w:ascii="Open Sans" w:hAnsi="Open Sans" w:cs="Open Sans"/>
          <w:i/>
          <w:szCs w:val="22"/>
          <w:lang w:val="en-GB"/>
        </w:rPr>
        <w:t>security</w:t>
      </w:r>
      <w:r w:rsidRPr="002A63BA">
        <w:rPr>
          <w:rFonts w:ascii="Open Sans" w:hAnsi="Open Sans" w:cs="Open Sans"/>
          <w:szCs w:val="22"/>
          <w:lang w:val="en-GB"/>
        </w:rPr>
        <w:t xml:space="preserve"> and </w:t>
      </w:r>
      <w:r w:rsidRPr="002A63BA">
        <w:rPr>
          <w:rFonts w:ascii="Open Sans" w:hAnsi="Open Sans" w:cs="Open Sans"/>
          <w:i/>
          <w:szCs w:val="22"/>
          <w:lang w:val="en-GB"/>
        </w:rPr>
        <w:t>scalability</w:t>
      </w:r>
      <w:r w:rsidRPr="002A63BA">
        <w:rPr>
          <w:rFonts w:ascii="Open Sans" w:hAnsi="Open Sans" w:cs="Open Sans"/>
          <w:szCs w:val="22"/>
          <w:lang w:val="en-GB"/>
        </w:rPr>
        <w:t xml:space="preserve"> are perceived as the top 20% criteria by both vendors and end-users.</w:t>
      </w:r>
    </w:p>
    <w:p w14:paraId="57C38BEE" w14:textId="77777777" w:rsidR="00AE101A" w:rsidRPr="002A63BA" w:rsidRDefault="00AE101A" w:rsidP="00FF3EE4">
      <w:pPr>
        <w:pStyle w:val="SORtekst"/>
        <w:spacing w:line="276" w:lineRule="auto"/>
        <w:rPr>
          <w:rFonts w:ascii="Open Sans" w:hAnsi="Open Sans" w:cs="Open Sans"/>
          <w:szCs w:val="22"/>
          <w:lang w:val="en-GB"/>
        </w:rPr>
      </w:pPr>
    </w:p>
    <w:p w14:paraId="03DC18E2" w14:textId="77777777" w:rsidR="00AE101A" w:rsidRPr="002A63BA" w:rsidRDefault="00AE101A" w:rsidP="00FF3EE4">
      <w:pPr>
        <w:pStyle w:val="SORtekst"/>
        <w:keepNext/>
        <w:spacing w:line="276" w:lineRule="auto"/>
        <w:jc w:val="center"/>
        <w:rPr>
          <w:rFonts w:ascii="Open Sans" w:hAnsi="Open Sans" w:cs="Open Sans"/>
          <w:szCs w:val="22"/>
        </w:rPr>
      </w:pPr>
      <w:r w:rsidRPr="002A63BA">
        <w:rPr>
          <w:rFonts w:ascii="Open Sans" w:hAnsi="Open Sans" w:cs="Open Sans"/>
          <w:b/>
          <w:noProof/>
          <w:szCs w:val="22"/>
          <w:lang w:val="hr-HR" w:eastAsia="hr-HR"/>
        </w:rPr>
        <w:lastRenderedPageBreak/>
        <w:drawing>
          <wp:inline distT="0" distB="0" distL="0" distR="0" wp14:anchorId="540C1845" wp14:editId="6F0C02AE">
            <wp:extent cx="4113462" cy="2633980"/>
            <wp:effectExtent l="0" t="0" r="1905" b="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roatia.png"/>
                    <pic:cNvPicPr/>
                  </pic:nvPicPr>
                  <pic:blipFill rotWithShape="1">
                    <a:blip r:embed="rId67" cstate="screen">
                      <a:extLst>
                        <a:ext uri="{28A0092B-C50C-407E-A947-70E740481C1C}">
                          <a14:useLocalDpi xmlns:a14="http://schemas.microsoft.com/office/drawing/2010/main"/>
                        </a:ext>
                      </a:extLst>
                    </a:blip>
                    <a:srcRect/>
                    <a:stretch/>
                  </pic:blipFill>
                  <pic:spPr bwMode="auto">
                    <a:xfrm>
                      <a:off x="0" y="0"/>
                      <a:ext cx="4137192" cy="2649175"/>
                    </a:xfrm>
                    <a:prstGeom prst="rect">
                      <a:avLst/>
                    </a:prstGeom>
                    <a:ln>
                      <a:noFill/>
                    </a:ln>
                    <a:extLst>
                      <a:ext uri="{53640926-AAD7-44D8-BBD7-CCE9431645EC}">
                        <a14:shadowObscured xmlns:a14="http://schemas.microsoft.com/office/drawing/2010/main"/>
                      </a:ext>
                    </a:extLst>
                  </pic:spPr>
                </pic:pic>
              </a:graphicData>
            </a:graphic>
          </wp:inline>
        </w:drawing>
      </w:r>
    </w:p>
    <w:p w14:paraId="2DB34D66" w14:textId="77777777" w:rsidR="00AE101A" w:rsidRPr="002A63BA" w:rsidRDefault="00AE101A" w:rsidP="00FF3EE4">
      <w:pPr>
        <w:pStyle w:val="Opisslike"/>
        <w:spacing w:line="276" w:lineRule="auto"/>
        <w:jc w:val="left"/>
        <w:rPr>
          <w:rFonts w:ascii="Open Sans" w:hAnsi="Open Sans" w:cs="Open Sans"/>
          <w:sz w:val="22"/>
          <w:szCs w:val="22"/>
        </w:rPr>
      </w:pPr>
      <w:r w:rsidRPr="005B1A5A">
        <w:rPr>
          <w:rFonts w:ascii="Open Sans" w:hAnsi="Open Sans" w:cs="Open Sans"/>
          <w:i w:val="0"/>
          <w:iCs w:val="0"/>
          <w:sz w:val="22"/>
          <w:szCs w:val="22"/>
        </w:rPr>
        <w:t xml:space="preserve">Figure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Figure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1</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w:t>
      </w:r>
      <w:r w:rsidRPr="002A63BA">
        <w:rPr>
          <w:rFonts w:ascii="Open Sans" w:hAnsi="Open Sans" w:cs="Open Sans"/>
          <w:sz w:val="22"/>
          <w:szCs w:val="22"/>
        </w:rPr>
        <w:t xml:space="preserve"> </w:t>
      </w:r>
      <w:r w:rsidRPr="002A63BA">
        <w:rPr>
          <w:rFonts w:ascii="Open Sans" w:hAnsi="Open Sans" w:cs="Open Sans"/>
          <w:iCs w:val="0"/>
          <w:sz w:val="22"/>
          <w:szCs w:val="22"/>
        </w:rPr>
        <w:t>Comparison of weight between vendors and end-users in Croatia</w:t>
      </w:r>
    </w:p>
    <w:p w14:paraId="52AD1DD7" w14:textId="77777777" w:rsidR="00AE101A" w:rsidRPr="002A63BA" w:rsidRDefault="00AE101A" w:rsidP="00FF3EE4">
      <w:pPr>
        <w:pStyle w:val="heading2"/>
        <w:numPr>
          <w:ilvl w:val="0"/>
          <w:numId w:val="0"/>
        </w:numPr>
        <w:spacing w:line="276" w:lineRule="auto"/>
        <w:ind w:left="567" w:hanging="567"/>
        <w:rPr>
          <w:rFonts w:ascii="Open Sans" w:hAnsi="Open Sans" w:cs="Open Sans"/>
          <w:sz w:val="22"/>
        </w:rPr>
      </w:pPr>
      <w:r w:rsidRPr="002A63BA">
        <w:rPr>
          <w:rFonts w:ascii="Open Sans" w:hAnsi="Open Sans" w:cs="Open Sans"/>
          <w:sz w:val="22"/>
        </w:rPr>
        <w:t>Slovenia</w:t>
      </w:r>
    </w:p>
    <w:p w14:paraId="565EAE80" w14:textId="1E165331" w:rsidR="00AE101A" w:rsidRDefault="00AE101A" w:rsidP="005B1A5A">
      <w:pPr>
        <w:pStyle w:val="SORtekst"/>
        <w:spacing w:after="240" w:line="276" w:lineRule="auto"/>
        <w:rPr>
          <w:rFonts w:ascii="Open Sans" w:hAnsi="Open Sans" w:cs="Open Sans"/>
          <w:szCs w:val="22"/>
          <w:lang w:val="en-GB"/>
        </w:rPr>
      </w:pPr>
      <w:r w:rsidRPr="002A63BA">
        <w:rPr>
          <w:rFonts w:ascii="Open Sans" w:hAnsi="Open Sans" w:cs="Open Sans"/>
          <w:szCs w:val="22"/>
          <w:lang w:val="en-GB"/>
        </w:rPr>
        <w:t>Calculated and sorted weights for vendors and end-users from Slovenia are shown in Table 3. Values are sorted from the highest to the lowest. It can be seen that, when taking into consideration the top 20% criteria, only one criterion is common for end-users and vendors in Slovenia – platform functionality.</w:t>
      </w:r>
    </w:p>
    <w:p w14:paraId="095945D6" w14:textId="77777777" w:rsidR="00AE101A" w:rsidRPr="005B1A5A" w:rsidRDefault="00AE101A" w:rsidP="00FF3EE4">
      <w:pPr>
        <w:pStyle w:val="Opisslike"/>
        <w:keepNext/>
        <w:spacing w:line="276" w:lineRule="auto"/>
        <w:rPr>
          <w:rFonts w:ascii="Open Sans" w:hAnsi="Open Sans" w:cs="Open Sans"/>
          <w:i w:val="0"/>
          <w:iCs w:val="0"/>
          <w:sz w:val="22"/>
          <w:szCs w:val="22"/>
        </w:rPr>
      </w:pPr>
      <w:r w:rsidRPr="005B1A5A">
        <w:rPr>
          <w:rFonts w:ascii="Open Sans" w:hAnsi="Open Sans" w:cs="Open Sans"/>
          <w:i w:val="0"/>
          <w:iCs w:val="0"/>
          <w:sz w:val="22"/>
          <w:szCs w:val="22"/>
        </w:rPr>
        <w:t xml:space="preserve">Table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Table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3</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 Criteria weights according to vendors and end-users in Slovenia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9"/>
        <w:gridCol w:w="1605"/>
        <w:gridCol w:w="146"/>
        <w:gridCol w:w="2168"/>
        <w:gridCol w:w="1340"/>
      </w:tblGrid>
      <w:tr w:rsidR="00AE101A" w:rsidRPr="002A63BA" w14:paraId="6381BE0E" w14:textId="77777777" w:rsidTr="005B1A5A">
        <w:trPr>
          <w:cantSplit/>
          <w:jc w:val="center"/>
        </w:trPr>
        <w:tc>
          <w:tcPr>
            <w:tcW w:w="0" w:type="auto"/>
            <w:vAlign w:val="center"/>
          </w:tcPr>
          <w:p w14:paraId="40D8D458"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Criteria</w:t>
            </w:r>
          </w:p>
        </w:tc>
        <w:tc>
          <w:tcPr>
            <w:tcW w:w="0" w:type="auto"/>
            <w:vAlign w:val="center"/>
          </w:tcPr>
          <w:p w14:paraId="5957173F"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Weight according to vendors</w:t>
            </w:r>
          </w:p>
        </w:tc>
        <w:tc>
          <w:tcPr>
            <w:tcW w:w="0" w:type="auto"/>
            <w:shd w:val="clear" w:color="auto" w:fill="D9D9D9" w:themeFill="background1" w:themeFillShade="D9"/>
            <w:vAlign w:val="center"/>
          </w:tcPr>
          <w:p w14:paraId="7D23BF93" w14:textId="77777777" w:rsidR="00AE101A" w:rsidRPr="002A63BA" w:rsidRDefault="00AE101A" w:rsidP="00FF3EE4">
            <w:pPr>
              <w:pStyle w:val="SORtekst"/>
              <w:spacing w:before="0" w:line="276" w:lineRule="auto"/>
              <w:jc w:val="center"/>
              <w:rPr>
                <w:rFonts w:ascii="Open Sans" w:hAnsi="Open Sans" w:cs="Open Sans"/>
                <w:b/>
                <w:i/>
                <w:szCs w:val="22"/>
                <w:lang w:val="en-GB"/>
              </w:rPr>
            </w:pPr>
          </w:p>
        </w:tc>
        <w:tc>
          <w:tcPr>
            <w:tcW w:w="0" w:type="auto"/>
            <w:vAlign w:val="center"/>
          </w:tcPr>
          <w:p w14:paraId="5F7955A0"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Criteria</w:t>
            </w:r>
          </w:p>
        </w:tc>
        <w:tc>
          <w:tcPr>
            <w:tcW w:w="0" w:type="auto"/>
            <w:vAlign w:val="center"/>
          </w:tcPr>
          <w:p w14:paraId="4CD6B244" w14:textId="77777777" w:rsidR="00AE101A" w:rsidRPr="002A63BA" w:rsidRDefault="00AE101A" w:rsidP="00FF3EE4">
            <w:pPr>
              <w:pStyle w:val="SORtekst"/>
              <w:spacing w:before="0" w:line="276" w:lineRule="auto"/>
              <w:jc w:val="center"/>
              <w:rPr>
                <w:rFonts w:ascii="Open Sans" w:hAnsi="Open Sans" w:cs="Open Sans"/>
                <w:b/>
                <w:i/>
                <w:szCs w:val="22"/>
                <w:lang w:val="en-GB"/>
              </w:rPr>
            </w:pPr>
            <w:r w:rsidRPr="002A63BA">
              <w:rPr>
                <w:rFonts w:ascii="Open Sans" w:hAnsi="Open Sans" w:cs="Open Sans"/>
                <w:b/>
                <w:i/>
                <w:szCs w:val="22"/>
                <w:lang w:val="en-GB"/>
              </w:rPr>
              <w:t>Weight according to end-users</w:t>
            </w:r>
          </w:p>
        </w:tc>
      </w:tr>
      <w:tr w:rsidR="00AE101A" w:rsidRPr="002A63BA" w14:paraId="65B0ED6F" w14:textId="77777777" w:rsidTr="005B1A5A">
        <w:trPr>
          <w:jc w:val="center"/>
        </w:trPr>
        <w:tc>
          <w:tcPr>
            <w:tcW w:w="0" w:type="auto"/>
            <w:shd w:val="clear" w:color="auto" w:fill="auto"/>
            <w:vAlign w:val="center"/>
          </w:tcPr>
          <w:p w14:paraId="036519B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availability (w2)</w:t>
            </w:r>
          </w:p>
        </w:tc>
        <w:tc>
          <w:tcPr>
            <w:tcW w:w="0" w:type="auto"/>
            <w:shd w:val="clear" w:color="000000" w:fill="FFC7CE"/>
            <w:vAlign w:val="center"/>
          </w:tcPr>
          <w:p w14:paraId="58997520"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0.090967943</w:t>
            </w:r>
          </w:p>
        </w:tc>
        <w:tc>
          <w:tcPr>
            <w:tcW w:w="0" w:type="auto"/>
            <w:shd w:val="clear" w:color="auto" w:fill="D9D9D9" w:themeFill="background1" w:themeFillShade="D9"/>
            <w:vAlign w:val="center"/>
          </w:tcPr>
          <w:p w14:paraId="122F2412"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587790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functionalities (w3)</w:t>
            </w:r>
          </w:p>
        </w:tc>
        <w:tc>
          <w:tcPr>
            <w:tcW w:w="0" w:type="auto"/>
            <w:shd w:val="clear" w:color="000000" w:fill="FFC7CE"/>
            <w:vAlign w:val="center"/>
          </w:tcPr>
          <w:p w14:paraId="293B5EC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0.078149</w:t>
            </w:r>
          </w:p>
        </w:tc>
      </w:tr>
      <w:tr w:rsidR="00AE101A" w:rsidRPr="002A63BA" w14:paraId="11DE3592" w14:textId="77777777" w:rsidTr="005B1A5A">
        <w:trPr>
          <w:jc w:val="center"/>
        </w:trPr>
        <w:tc>
          <w:tcPr>
            <w:tcW w:w="0" w:type="auto"/>
            <w:shd w:val="clear" w:color="auto" w:fill="auto"/>
            <w:vAlign w:val="center"/>
          </w:tcPr>
          <w:p w14:paraId="4F91AB0B" w14:textId="77777777" w:rsidR="00AE101A" w:rsidRPr="002A63BA" w:rsidRDefault="00AE101A" w:rsidP="00FF3EE4">
            <w:pPr>
              <w:pStyle w:val="SORtekst"/>
              <w:spacing w:before="0" w:line="276" w:lineRule="auto"/>
              <w:jc w:val="center"/>
              <w:rPr>
                <w:rFonts w:ascii="Open Sans" w:hAnsi="Open Sans" w:cs="Open Sans"/>
                <w:szCs w:val="22"/>
                <w:vertAlign w:val="subscript"/>
                <w:lang w:val="en-GB"/>
              </w:rPr>
            </w:pPr>
            <w:r w:rsidRPr="002A63BA">
              <w:rPr>
                <w:rFonts w:ascii="Open Sans" w:hAnsi="Open Sans" w:cs="Open Sans"/>
                <w:color w:val="000000"/>
                <w:szCs w:val="22"/>
              </w:rPr>
              <w:t>Platform reliability (w9)</w:t>
            </w:r>
          </w:p>
        </w:tc>
        <w:tc>
          <w:tcPr>
            <w:tcW w:w="0" w:type="auto"/>
            <w:shd w:val="clear" w:color="000000" w:fill="FFC7CE"/>
            <w:vAlign w:val="center"/>
          </w:tcPr>
          <w:p w14:paraId="225B982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0.088846289</w:t>
            </w:r>
          </w:p>
        </w:tc>
        <w:tc>
          <w:tcPr>
            <w:tcW w:w="0" w:type="auto"/>
            <w:shd w:val="clear" w:color="auto" w:fill="D9D9D9" w:themeFill="background1" w:themeFillShade="D9"/>
            <w:vAlign w:val="center"/>
          </w:tcPr>
          <w:p w14:paraId="2EE974ED"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4D3770A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security (w12)</w:t>
            </w:r>
          </w:p>
        </w:tc>
        <w:tc>
          <w:tcPr>
            <w:tcW w:w="0" w:type="auto"/>
            <w:shd w:val="clear" w:color="000000" w:fill="FFC7CE"/>
            <w:vAlign w:val="center"/>
          </w:tcPr>
          <w:p w14:paraId="62E8A3B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0.077481</w:t>
            </w:r>
          </w:p>
        </w:tc>
      </w:tr>
      <w:tr w:rsidR="00AE101A" w:rsidRPr="002A63BA" w14:paraId="1432A112" w14:textId="77777777" w:rsidTr="005B1A5A">
        <w:trPr>
          <w:jc w:val="center"/>
        </w:trPr>
        <w:tc>
          <w:tcPr>
            <w:tcW w:w="0" w:type="auto"/>
            <w:shd w:val="clear" w:color="auto" w:fill="auto"/>
            <w:vAlign w:val="center"/>
          </w:tcPr>
          <w:p w14:paraId="14B9E67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functionalities (w3)</w:t>
            </w:r>
          </w:p>
        </w:tc>
        <w:tc>
          <w:tcPr>
            <w:tcW w:w="0" w:type="auto"/>
            <w:shd w:val="clear" w:color="000000" w:fill="FFC7CE"/>
            <w:vAlign w:val="center"/>
          </w:tcPr>
          <w:p w14:paraId="3ACA9D6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0.07691157</w:t>
            </w:r>
          </w:p>
        </w:tc>
        <w:tc>
          <w:tcPr>
            <w:tcW w:w="0" w:type="auto"/>
            <w:shd w:val="clear" w:color="auto" w:fill="D9D9D9" w:themeFill="background1" w:themeFillShade="D9"/>
            <w:vAlign w:val="center"/>
          </w:tcPr>
          <w:p w14:paraId="0A0520CF"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01C85502"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scalability (w13)</w:t>
            </w:r>
          </w:p>
        </w:tc>
        <w:tc>
          <w:tcPr>
            <w:tcW w:w="0" w:type="auto"/>
            <w:shd w:val="clear" w:color="000000" w:fill="FFC7CE"/>
            <w:vAlign w:val="center"/>
          </w:tcPr>
          <w:p w14:paraId="7D71DCD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0.076901</w:t>
            </w:r>
          </w:p>
        </w:tc>
      </w:tr>
      <w:tr w:rsidR="00AE101A" w:rsidRPr="002A63BA" w14:paraId="56DAA4CB" w14:textId="77777777" w:rsidTr="005B1A5A">
        <w:trPr>
          <w:jc w:val="center"/>
        </w:trPr>
        <w:tc>
          <w:tcPr>
            <w:tcW w:w="0" w:type="auto"/>
            <w:shd w:val="clear" w:color="auto" w:fill="auto"/>
            <w:vAlign w:val="center"/>
          </w:tcPr>
          <w:p w14:paraId="7559DC1E"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lastRenderedPageBreak/>
              <w:t>Platform usability (w15)</w:t>
            </w:r>
          </w:p>
        </w:tc>
        <w:tc>
          <w:tcPr>
            <w:tcW w:w="0" w:type="auto"/>
            <w:shd w:val="clear" w:color="auto" w:fill="auto"/>
            <w:vAlign w:val="center"/>
          </w:tcPr>
          <w:p w14:paraId="135E6E0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0.076407563</w:t>
            </w:r>
          </w:p>
        </w:tc>
        <w:tc>
          <w:tcPr>
            <w:tcW w:w="0" w:type="auto"/>
            <w:shd w:val="clear" w:color="auto" w:fill="D9D9D9" w:themeFill="background1" w:themeFillShade="D9"/>
            <w:vAlign w:val="center"/>
          </w:tcPr>
          <w:p w14:paraId="28AFB13A"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772EB7C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usability (w15)</w:t>
            </w:r>
          </w:p>
        </w:tc>
        <w:tc>
          <w:tcPr>
            <w:tcW w:w="0" w:type="auto"/>
            <w:shd w:val="clear" w:color="000000" w:fill="FFC7CE"/>
            <w:vAlign w:val="center"/>
          </w:tcPr>
          <w:p w14:paraId="564CAEC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9C0006"/>
                <w:szCs w:val="22"/>
              </w:rPr>
              <w:t>0.074301</w:t>
            </w:r>
          </w:p>
        </w:tc>
      </w:tr>
      <w:tr w:rsidR="00AE101A" w:rsidRPr="002A63BA" w14:paraId="5715CED8" w14:textId="77777777" w:rsidTr="005B1A5A">
        <w:trPr>
          <w:jc w:val="center"/>
        </w:trPr>
        <w:tc>
          <w:tcPr>
            <w:tcW w:w="0" w:type="auto"/>
            <w:shd w:val="clear" w:color="auto" w:fill="auto"/>
            <w:vAlign w:val="center"/>
          </w:tcPr>
          <w:p w14:paraId="1CF0F40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price (w1)</w:t>
            </w:r>
          </w:p>
        </w:tc>
        <w:tc>
          <w:tcPr>
            <w:tcW w:w="0" w:type="auto"/>
            <w:shd w:val="clear" w:color="auto" w:fill="auto"/>
            <w:vAlign w:val="center"/>
          </w:tcPr>
          <w:p w14:paraId="62CED383"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0.07280326</w:t>
            </w:r>
          </w:p>
        </w:tc>
        <w:tc>
          <w:tcPr>
            <w:tcW w:w="0" w:type="auto"/>
            <w:shd w:val="clear" w:color="auto" w:fill="D9D9D9" w:themeFill="background1" w:themeFillShade="D9"/>
            <w:vAlign w:val="center"/>
          </w:tcPr>
          <w:p w14:paraId="3395250D"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7BBB431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Integration flexibility (w5)</w:t>
            </w:r>
          </w:p>
        </w:tc>
        <w:tc>
          <w:tcPr>
            <w:tcW w:w="0" w:type="auto"/>
            <w:shd w:val="clear" w:color="auto" w:fill="auto"/>
            <w:vAlign w:val="center"/>
          </w:tcPr>
          <w:p w14:paraId="5A0A456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0.073976</w:t>
            </w:r>
          </w:p>
        </w:tc>
      </w:tr>
      <w:tr w:rsidR="00AE101A" w:rsidRPr="002A63BA" w14:paraId="1FF4B93B" w14:textId="77777777" w:rsidTr="005B1A5A">
        <w:trPr>
          <w:jc w:val="center"/>
        </w:trPr>
        <w:tc>
          <w:tcPr>
            <w:tcW w:w="0" w:type="auto"/>
            <w:shd w:val="clear" w:color="auto" w:fill="auto"/>
            <w:vAlign w:val="center"/>
          </w:tcPr>
          <w:p w14:paraId="7AAD1E6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security (w12)</w:t>
            </w:r>
          </w:p>
        </w:tc>
        <w:tc>
          <w:tcPr>
            <w:tcW w:w="0" w:type="auto"/>
            <w:shd w:val="clear" w:color="auto" w:fill="auto"/>
            <w:vAlign w:val="center"/>
          </w:tcPr>
          <w:p w14:paraId="5E74C29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0.072086251</w:t>
            </w:r>
          </w:p>
        </w:tc>
        <w:tc>
          <w:tcPr>
            <w:tcW w:w="0" w:type="auto"/>
            <w:shd w:val="clear" w:color="auto" w:fill="D9D9D9" w:themeFill="background1" w:themeFillShade="D9"/>
            <w:vAlign w:val="center"/>
          </w:tcPr>
          <w:p w14:paraId="40590A78"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2F3769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availability (w2)</w:t>
            </w:r>
          </w:p>
        </w:tc>
        <w:tc>
          <w:tcPr>
            <w:tcW w:w="0" w:type="auto"/>
            <w:shd w:val="clear" w:color="auto" w:fill="auto"/>
            <w:vAlign w:val="center"/>
          </w:tcPr>
          <w:p w14:paraId="411A106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0.072052</w:t>
            </w:r>
          </w:p>
        </w:tc>
      </w:tr>
      <w:tr w:rsidR="00AE101A" w:rsidRPr="002A63BA" w14:paraId="3ECE1359" w14:textId="77777777" w:rsidTr="005B1A5A">
        <w:trPr>
          <w:jc w:val="center"/>
        </w:trPr>
        <w:tc>
          <w:tcPr>
            <w:tcW w:w="0" w:type="auto"/>
            <w:shd w:val="clear" w:color="auto" w:fill="auto"/>
            <w:vAlign w:val="center"/>
          </w:tcPr>
          <w:p w14:paraId="0A72D68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Supportability (from vendor/provider) (w8)</w:t>
            </w:r>
          </w:p>
        </w:tc>
        <w:tc>
          <w:tcPr>
            <w:tcW w:w="0" w:type="auto"/>
            <w:shd w:val="clear" w:color="auto" w:fill="auto"/>
            <w:vAlign w:val="center"/>
          </w:tcPr>
          <w:p w14:paraId="729D3842"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0.071640406</w:t>
            </w:r>
          </w:p>
        </w:tc>
        <w:tc>
          <w:tcPr>
            <w:tcW w:w="0" w:type="auto"/>
            <w:shd w:val="clear" w:color="auto" w:fill="D9D9D9" w:themeFill="background1" w:themeFillShade="D9"/>
            <w:vAlign w:val="center"/>
          </w:tcPr>
          <w:p w14:paraId="14842ACC"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2D6AA07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price (w1)</w:t>
            </w:r>
          </w:p>
        </w:tc>
        <w:tc>
          <w:tcPr>
            <w:tcW w:w="0" w:type="auto"/>
            <w:shd w:val="clear" w:color="auto" w:fill="auto"/>
            <w:vAlign w:val="center"/>
          </w:tcPr>
          <w:p w14:paraId="6E9AAC3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0.068501</w:t>
            </w:r>
          </w:p>
        </w:tc>
      </w:tr>
      <w:tr w:rsidR="00AE101A" w:rsidRPr="002A63BA" w14:paraId="4CE7DDFB" w14:textId="77777777" w:rsidTr="005B1A5A">
        <w:trPr>
          <w:jc w:val="center"/>
        </w:trPr>
        <w:tc>
          <w:tcPr>
            <w:tcW w:w="0" w:type="auto"/>
            <w:shd w:val="clear" w:color="auto" w:fill="auto"/>
            <w:vAlign w:val="center"/>
          </w:tcPr>
          <w:p w14:paraId="02C914ED"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Integration flexibility (w5)</w:t>
            </w:r>
          </w:p>
        </w:tc>
        <w:tc>
          <w:tcPr>
            <w:tcW w:w="0" w:type="auto"/>
            <w:shd w:val="clear" w:color="auto" w:fill="auto"/>
            <w:vAlign w:val="center"/>
          </w:tcPr>
          <w:p w14:paraId="7734888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0.069923261</w:t>
            </w:r>
          </w:p>
        </w:tc>
        <w:tc>
          <w:tcPr>
            <w:tcW w:w="0" w:type="auto"/>
            <w:shd w:val="clear" w:color="auto" w:fill="D9D9D9" w:themeFill="background1" w:themeFillShade="D9"/>
            <w:vAlign w:val="center"/>
          </w:tcPr>
          <w:p w14:paraId="3566D1B4"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4487C06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portability (w10)</w:t>
            </w:r>
          </w:p>
        </w:tc>
        <w:tc>
          <w:tcPr>
            <w:tcW w:w="0" w:type="auto"/>
            <w:shd w:val="clear" w:color="auto" w:fill="auto"/>
            <w:vAlign w:val="center"/>
          </w:tcPr>
          <w:p w14:paraId="26EC28D9"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0.068402</w:t>
            </w:r>
          </w:p>
        </w:tc>
      </w:tr>
      <w:tr w:rsidR="00AE101A" w:rsidRPr="002A63BA" w14:paraId="2D6BF739" w14:textId="77777777" w:rsidTr="005B1A5A">
        <w:trPr>
          <w:jc w:val="center"/>
        </w:trPr>
        <w:tc>
          <w:tcPr>
            <w:tcW w:w="0" w:type="auto"/>
            <w:shd w:val="clear" w:color="auto" w:fill="auto"/>
            <w:vAlign w:val="center"/>
          </w:tcPr>
          <w:p w14:paraId="763BB528"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Device management (w7)</w:t>
            </w:r>
          </w:p>
        </w:tc>
        <w:tc>
          <w:tcPr>
            <w:tcW w:w="0" w:type="auto"/>
            <w:shd w:val="clear" w:color="auto" w:fill="auto"/>
            <w:vAlign w:val="center"/>
          </w:tcPr>
          <w:p w14:paraId="6BA1AA9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0.063408224</w:t>
            </w:r>
          </w:p>
        </w:tc>
        <w:tc>
          <w:tcPr>
            <w:tcW w:w="0" w:type="auto"/>
            <w:shd w:val="clear" w:color="auto" w:fill="D9D9D9" w:themeFill="background1" w:themeFillShade="D9"/>
            <w:vAlign w:val="center"/>
          </w:tcPr>
          <w:p w14:paraId="341AC584"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02181E4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Device management (w7)</w:t>
            </w:r>
          </w:p>
        </w:tc>
        <w:tc>
          <w:tcPr>
            <w:tcW w:w="0" w:type="auto"/>
            <w:shd w:val="clear" w:color="auto" w:fill="auto"/>
            <w:vAlign w:val="center"/>
          </w:tcPr>
          <w:p w14:paraId="724DCAD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0.065366</w:t>
            </w:r>
          </w:p>
        </w:tc>
      </w:tr>
      <w:tr w:rsidR="00AE101A" w:rsidRPr="002A63BA" w14:paraId="26E545C4" w14:textId="77777777" w:rsidTr="005B1A5A">
        <w:trPr>
          <w:jc w:val="center"/>
        </w:trPr>
        <w:tc>
          <w:tcPr>
            <w:tcW w:w="0" w:type="auto"/>
            <w:shd w:val="clear" w:color="auto" w:fill="auto"/>
            <w:vAlign w:val="center"/>
          </w:tcPr>
          <w:p w14:paraId="21F81103"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Standardization  (w14)</w:t>
            </w:r>
          </w:p>
        </w:tc>
        <w:tc>
          <w:tcPr>
            <w:tcW w:w="0" w:type="auto"/>
            <w:shd w:val="clear" w:color="auto" w:fill="auto"/>
            <w:vAlign w:val="center"/>
          </w:tcPr>
          <w:p w14:paraId="44B1689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0.061395405</w:t>
            </w:r>
          </w:p>
        </w:tc>
        <w:tc>
          <w:tcPr>
            <w:tcW w:w="0" w:type="auto"/>
            <w:shd w:val="clear" w:color="auto" w:fill="D9D9D9" w:themeFill="background1" w:themeFillShade="D9"/>
            <w:vAlign w:val="center"/>
          </w:tcPr>
          <w:p w14:paraId="65076F01"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693A71FF"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Variety of data analytics tools / possibilities (w11)</w:t>
            </w:r>
          </w:p>
        </w:tc>
        <w:tc>
          <w:tcPr>
            <w:tcW w:w="0" w:type="auto"/>
            <w:shd w:val="clear" w:color="auto" w:fill="auto"/>
            <w:vAlign w:val="center"/>
          </w:tcPr>
          <w:p w14:paraId="02342E6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0.063541</w:t>
            </w:r>
          </w:p>
        </w:tc>
      </w:tr>
      <w:tr w:rsidR="00AE101A" w:rsidRPr="002A63BA" w14:paraId="1B082D52" w14:textId="77777777" w:rsidTr="005B1A5A">
        <w:trPr>
          <w:jc w:val="center"/>
        </w:trPr>
        <w:tc>
          <w:tcPr>
            <w:tcW w:w="0" w:type="auto"/>
            <w:shd w:val="clear" w:color="auto" w:fill="auto"/>
            <w:vAlign w:val="center"/>
          </w:tcPr>
          <w:p w14:paraId="44B23EF5"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scalability (w13)</w:t>
            </w:r>
          </w:p>
        </w:tc>
        <w:tc>
          <w:tcPr>
            <w:tcW w:w="0" w:type="auto"/>
            <w:shd w:val="clear" w:color="auto" w:fill="auto"/>
            <w:vAlign w:val="center"/>
          </w:tcPr>
          <w:p w14:paraId="052603D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0.061162562</w:t>
            </w:r>
          </w:p>
        </w:tc>
        <w:tc>
          <w:tcPr>
            <w:tcW w:w="0" w:type="auto"/>
            <w:shd w:val="clear" w:color="auto" w:fill="D9D9D9" w:themeFill="background1" w:themeFillShade="D9"/>
            <w:vAlign w:val="center"/>
          </w:tcPr>
          <w:p w14:paraId="1E6D0EFE"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58E4E43D"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reliability (w9)</w:t>
            </w:r>
          </w:p>
        </w:tc>
        <w:tc>
          <w:tcPr>
            <w:tcW w:w="0" w:type="auto"/>
            <w:shd w:val="clear" w:color="auto" w:fill="auto"/>
            <w:vAlign w:val="center"/>
          </w:tcPr>
          <w:p w14:paraId="6014DA5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0.062185</w:t>
            </w:r>
          </w:p>
        </w:tc>
      </w:tr>
      <w:tr w:rsidR="00AE101A" w:rsidRPr="002A63BA" w14:paraId="10CC35A8" w14:textId="77777777" w:rsidTr="005B1A5A">
        <w:trPr>
          <w:jc w:val="center"/>
        </w:trPr>
        <w:tc>
          <w:tcPr>
            <w:tcW w:w="0" w:type="auto"/>
            <w:shd w:val="clear" w:color="auto" w:fill="auto"/>
            <w:vAlign w:val="center"/>
          </w:tcPr>
          <w:p w14:paraId="23BF58BD"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Usefulness of visualization (w6)</w:t>
            </w:r>
          </w:p>
        </w:tc>
        <w:tc>
          <w:tcPr>
            <w:tcW w:w="0" w:type="auto"/>
            <w:shd w:val="clear" w:color="auto" w:fill="auto"/>
            <w:vAlign w:val="center"/>
          </w:tcPr>
          <w:p w14:paraId="7EBC1C1B"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0.057525871</w:t>
            </w:r>
          </w:p>
        </w:tc>
        <w:tc>
          <w:tcPr>
            <w:tcW w:w="0" w:type="auto"/>
            <w:shd w:val="clear" w:color="auto" w:fill="D9D9D9" w:themeFill="background1" w:themeFillShade="D9"/>
            <w:vAlign w:val="center"/>
          </w:tcPr>
          <w:p w14:paraId="118F22A9"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3B3161C5"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Usefulness of visualization (w6)</w:t>
            </w:r>
          </w:p>
        </w:tc>
        <w:tc>
          <w:tcPr>
            <w:tcW w:w="0" w:type="auto"/>
            <w:shd w:val="clear" w:color="auto" w:fill="auto"/>
            <w:vAlign w:val="center"/>
          </w:tcPr>
          <w:p w14:paraId="70809B21"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0.060929</w:t>
            </w:r>
          </w:p>
        </w:tc>
      </w:tr>
      <w:tr w:rsidR="00AE101A" w:rsidRPr="002A63BA" w14:paraId="6D1CE126" w14:textId="77777777" w:rsidTr="005B1A5A">
        <w:trPr>
          <w:jc w:val="center"/>
        </w:trPr>
        <w:tc>
          <w:tcPr>
            <w:tcW w:w="0" w:type="auto"/>
            <w:shd w:val="clear" w:color="auto" w:fill="auto"/>
            <w:vAlign w:val="center"/>
          </w:tcPr>
          <w:p w14:paraId="05331A78"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portability (w10)</w:t>
            </w:r>
          </w:p>
        </w:tc>
        <w:tc>
          <w:tcPr>
            <w:tcW w:w="0" w:type="auto"/>
            <w:shd w:val="clear" w:color="auto" w:fill="auto"/>
            <w:vAlign w:val="center"/>
          </w:tcPr>
          <w:p w14:paraId="148B160F"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0.053895405</w:t>
            </w:r>
          </w:p>
        </w:tc>
        <w:tc>
          <w:tcPr>
            <w:tcW w:w="0" w:type="auto"/>
            <w:shd w:val="clear" w:color="auto" w:fill="D9D9D9" w:themeFill="background1" w:themeFillShade="D9"/>
            <w:vAlign w:val="center"/>
          </w:tcPr>
          <w:p w14:paraId="36D9F439"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627B0014"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Standardization (w14)</w:t>
            </w:r>
          </w:p>
        </w:tc>
        <w:tc>
          <w:tcPr>
            <w:tcW w:w="0" w:type="auto"/>
            <w:shd w:val="clear" w:color="auto" w:fill="auto"/>
            <w:vAlign w:val="center"/>
          </w:tcPr>
          <w:p w14:paraId="23BEE326"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0.05718</w:t>
            </w:r>
          </w:p>
        </w:tc>
      </w:tr>
      <w:tr w:rsidR="00AE101A" w:rsidRPr="002A63BA" w14:paraId="5EECACAF" w14:textId="77777777" w:rsidTr="005B1A5A">
        <w:trPr>
          <w:jc w:val="center"/>
        </w:trPr>
        <w:tc>
          <w:tcPr>
            <w:tcW w:w="0" w:type="auto"/>
            <w:shd w:val="clear" w:color="auto" w:fill="auto"/>
            <w:vAlign w:val="center"/>
          </w:tcPr>
          <w:p w14:paraId="07F65F6D"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Variety of data analytics tools / possibilities (w11)</w:t>
            </w:r>
          </w:p>
        </w:tc>
        <w:tc>
          <w:tcPr>
            <w:tcW w:w="0" w:type="auto"/>
            <w:shd w:val="clear" w:color="auto" w:fill="auto"/>
            <w:vAlign w:val="center"/>
          </w:tcPr>
          <w:p w14:paraId="11B78C60"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0.047339033</w:t>
            </w:r>
          </w:p>
        </w:tc>
        <w:tc>
          <w:tcPr>
            <w:tcW w:w="0" w:type="auto"/>
            <w:shd w:val="clear" w:color="auto" w:fill="D9D9D9" w:themeFill="background1" w:themeFillShade="D9"/>
            <w:vAlign w:val="center"/>
          </w:tcPr>
          <w:p w14:paraId="4991060E"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5BA2365A" w14:textId="77777777" w:rsidR="00AE101A" w:rsidRPr="002A63BA" w:rsidRDefault="00AE101A" w:rsidP="00FF3EE4">
            <w:pPr>
              <w:pStyle w:val="SORtekst"/>
              <w:spacing w:before="0" w:line="276" w:lineRule="auto"/>
              <w:jc w:val="center"/>
              <w:rPr>
                <w:rFonts w:ascii="Open Sans" w:hAnsi="Open Sans" w:cs="Open Sans"/>
                <w:b/>
                <w:szCs w:val="22"/>
                <w:u w:val="single"/>
                <w:lang w:val="en-GB"/>
              </w:rPr>
            </w:pPr>
            <w:r w:rsidRPr="002A63BA">
              <w:rPr>
                <w:rFonts w:ascii="Open Sans" w:hAnsi="Open Sans" w:cs="Open Sans"/>
                <w:color w:val="000000"/>
                <w:szCs w:val="22"/>
              </w:rPr>
              <w:t>Platform provider quality and reputation (w4)</w:t>
            </w:r>
          </w:p>
        </w:tc>
        <w:tc>
          <w:tcPr>
            <w:tcW w:w="0" w:type="auto"/>
            <w:shd w:val="clear" w:color="auto" w:fill="auto"/>
            <w:vAlign w:val="center"/>
          </w:tcPr>
          <w:p w14:paraId="790C10C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0.051097</w:t>
            </w:r>
          </w:p>
        </w:tc>
      </w:tr>
      <w:tr w:rsidR="00AE101A" w:rsidRPr="002A63BA" w14:paraId="005D6E91" w14:textId="77777777" w:rsidTr="005B1A5A">
        <w:trPr>
          <w:jc w:val="center"/>
        </w:trPr>
        <w:tc>
          <w:tcPr>
            <w:tcW w:w="0" w:type="auto"/>
            <w:shd w:val="clear" w:color="auto" w:fill="auto"/>
            <w:vAlign w:val="center"/>
          </w:tcPr>
          <w:p w14:paraId="38A9A24C"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Platform provider quality and reputation (w4)</w:t>
            </w:r>
          </w:p>
        </w:tc>
        <w:tc>
          <w:tcPr>
            <w:tcW w:w="0" w:type="auto"/>
            <w:shd w:val="clear" w:color="auto" w:fill="auto"/>
            <w:vAlign w:val="center"/>
          </w:tcPr>
          <w:p w14:paraId="5EC40697"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b/>
                <w:bCs/>
                <w:color w:val="000000"/>
                <w:szCs w:val="22"/>
              </w:rPr>
              <w:t>0.035686955</w:t>
            </w:r>
          </w:p>
        </w:tc>
        <w:tc>
          <w:tcPr>
            <w:tcW w:w="0" w:type="auto"/>
            <w:shd w:val="clear" w:color="auto" w:fill="D9D9D9" w:themeFill="background1" w:themeFillShade="D9"/>
            <w:vAlign w:val="center"/>
          </w:tcPr>
          <w:p w14:paraId="213DA58D" w14:textId="77777777" w:rsidR="00AE101A" w:rsidRPr="002A63BA" w:rsidRDefault="00AE101A" w:rsidP="00FF3EE4">
            <w:pPr>
              <w:pStyle w:val="SORtekst"/>
              <w:spacing w:before="0" w:line="276" w:lineRule="auto"/>
              <w:jc w:val="center"/>
              <w:rPr>
                <w:rFonts w:ascii="Open Sans" w:hAnsi="Open Sans" w:cs="Open Sans"/>
                <w:szCs w:val="22"/>
                <w:lang w:val="en-GB"/>
              </w:rPr>
            </w:pPr>
          </w:p>
        </w:tc>
        <w:tc>
          <w:tcPr>
            <w:tcW w:w="0" w:type="auto"/>
            <w:shd w:val="clear" w:color="auto" w:fill="auto"/>
            <w:vAlign w:val="center"/>
          </w:tcPr>
          <w:p w14:paraId="5504CBC4"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color w:val="000000"/>
                <w:szCs w:val="22"/>
              </w:rPr>
              <w:t>Supportability (from vendor/provider) (w8)</w:t>
            </w:r>
          </w:p>
        </w:tc>
        <w:tc>
          <w:tcPr>
            <w:tcW w:w="0" w:type="auto"/>
            <w:shd w:val="clear" w:color="auto" w:fill="auto"/>
            <w:vAlign w:val="center"/>
          </w:tcPr>
          <w:p w14:paraId="340A0B3A" w14:textId="77777777" w:rsidR="00AE101A" w:rsidRPr="002A63BA" w:rsidRDefault="00AE101A" w:rsidP="00FF3EE4">
            <w:pPr>
              <w:pStyle w:val="SORtekst"/>
              <w:spacing w:before="0" w:line="276" w:lineRule="auto"/>
              <w:jc w:val="center"/>
              <w:rPr>
                <w:rFonts w:ascii="Open Sans" w:hAnsi="Open Sans" w:cs="Open Sans"/>
                <w:szCs w:val="22"/>
                <w:lang w:val="en-GB"/>
              </w:rPr>
            </w:pPr>
            <w:r w:rsidRPr="002A63BA">
              <w:rPr>
                <w:rFonts w:ascii="Open Sans" w:hAnsi="Open Sans" w:cs="Open Sans"/>
                <w:b/>
                <w:bCs/>
                <w:color w:val="000000"/>
                <w:szCs w:val="22"/>
              </w:rPr>
              <w:t>0.049938</w:t>
            </w:r>
          </w:p>
        </w:tc>
      </w:tr>
    </w:tbl>
    <w:p w14:paraId="1B675086"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Calculated weights for each criteria are graphically presented in the figure below (Figure 2).</w:t>
      </w:r>
    </w:p>
    <w:p w14:paraId="6588DFB9" w14:textId="77777777" w:rsidR="00AE101A" w:rsidRPr="002A63BA" w:rsidRDefault="00AE101A" w:rsidP="00FF3EE4">
      <w:pPr>
        <w:pStyle w:val="SORtekst"/>
        <w:keepNext/>
        <w:spacing w:line="276" w:lineRule="auto"/>
        <w:jc w:val="center"/>
        <w:rPr>
          <w:rFonts w:ascii="Open Sans" w:hAnsi="Open Sans" w:cs="Open Sans"/>
          <w:szCs w:val="22"/>
        </w:rPr>
      </w:pPr>
      <w:r w:rsidRPr="002A63BA">
        <w:rPr>
          <w:rFonts w:ascii="Open Sans" w:hAnsi="Open Sans" w:cs="Open Sans"/>
          <w:b/>
          <w:noProof/>
          <w:szCs w:val="22"/>
          <w:lang w:val="hr-HR" w:eastAsia="hr-HR"/>
        </w:rPr>
        <w:lastRenderedPageBreak/>
        <w:drawing>
          <wp:inline distT="0" distB="0" distL="0" distR="0" wp14:anchorId="3ACFB177" wp14:editId="4CD7FD91">
            <wp:extent cx="3936365" cy="2576223"/>
            <wp:effectExtent l="0" t="0" r="6985" b="0"/>
            <wp:docPr id="3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ovenia (1).png"/>
                    <pic:cNvPicPr/>
                  </pic:nvPicPr>
                  <pic:blipFill rotWithShape="1">
                    <a:blip r:embed="rId68" cstate="screen">
                      <a:extLst>
                        <a:ext uri="{28A0092B-C50C-407E-A947-70E740481C1C}">
                          <a14:useLocalDpi xmlns:a14="http://schemas.microsoft.com/office/drawing/2010/main"/>
                        </a:ext>
                      </a:extLst>
                    </a:blip>
                    <a:srcRect/>
                    <a:stretch/>
                  </pic:blipFill>
                  <pic:spPr bwMode="auto">
                    <a:xfrm>
                      <a:off x="0" y="0"/>
                      <a:ext cx="3957973" cy="2590365"/>
                    </a:xfrm>
                    <a:prstGeom prst="rect">
                      <a:avLst/>
                    </a:prstGeom>
                    <a:ln>
                      <a:noFill/>
                    </a:ln>
                    <a:extLst>
                      <a:ext uri="{53640926-AAD7-44D8-BBD7-CCE9431645EC}">
                        <a14:shadowObscured xmlns:a14="http://schemas.microsoft.com/office/drawing/2010/main"/>
                      </a:ext>
                    </a:extLst>
                  </pic:spPr>
                </pic:pic>
              </a:graphicData>
            </a:graphic>
          </wp:inline>
        </w:drawing>
      </w:r>
    </w:p>
    <w:p w14:paraId="4EFBA987" w14:textId="77777777" w:rsidR="00AE101A" w:rsidRPr="002A63BA" w:rsidRDefault="00AE101A" w:rsidP="00FF3EE4">
      <w:pPr>
        <w:pStyle w:val="Opisslike"/>
        <w:spacing w:line="276" w:lineRule="auto"/>
        <w:jc w:val="left"/>
        <w:rPr>
          <w:rFonts w:ascii="Open Sans" w:hAnsi="Open Sans" w:cs="Open Sans"/>
          <w:i w:val="0"/>
          <w:iCs w:val="0"/>
          <w:sz w:val="22"/>
          <w:szCs w:val="22"/>
        </w:rPr>
      </w:pPr>
      <w:r w:rsidRPr="005B1A5A">
        <w:rPr>
          <w:rFonts w:ascii="Open Sans" w:hAnsi="Open Sans" w:cs="Open Sans"/>
          <w:i w:val="0"/>
          <w:iCs w:val="0"/>
          <w:sz w:val="22"/>
          <w:szCs w:val="22"/>
        </w:rPr>
        <w:t>Figure 2.</w:t>
      </w:r>
      <w:r w:rsidRPr="002A63BA">
        <w:rPr>
          <w:rFonts w:ascii="Open Sans" w:hAnsi="Open Sans" w:cs="Open Sans"/>
          <w:sz w:val="22"/>
          <w:szCs w:val="22"/>
        </w:rPr>
        <w:t xml:space="preserve"> </w:t>
      </w:r>
      <w:r w:rsidRPr="002A63BA">
        <w:rPr>
          <w:rFonts w:ascii="Open Sans" w:hAnsi="Open Sans" w:cs="Open Sans"/>
          <w:iCs w:val="0"/>
          <w:sz w:val="22"/>
          <w:szCs w:val="22"/>
        </w:rPr>
        <w:t>Comparison of weight between vendors and end-users in Slovenia</w:t>
      </w:r>
    </w:p>
    <w:p w14:paraId="27A37A69" w14:textId="77777777" w:rsidR="00AE101A" w:rsidRPr="002A63BA" w:rsidRDefault="00AE101A" w:rsidP="00FF3EE4">
      <w:pPr>
        <w:pStyle w:val="heading2"/>
        <w:numPr>
          <w:ilvl w:val="0"/>
          <w:numId w:val="0"/>
        </w:numPr>
        <w:spacing w:line="276" w:lineRule="auto"/>
        <w:ind w:left="567" w:hanging="567"/>
        <w:rPr>
          <w:rFonts w:ascii="Open Sans" w:hAnsi="Open Sans" w:cs="Open Sans"/>
          <w:sz w:val="22"/>
        </w:rPr>
      </w:pPr>
      <w:r w:rsidRPr="002A63BA">
        <w:rPr>
          <w:rFonts w:ascii="Open Sans" w:hAnsi="Open Sans" w:cs="Open Sans"/>
          <w:sz w:val="22"/>
        </w:rPr>
        <w:t>Comparison</w:t>
      </w:r>
    </w:p>
    <w:p w14:paraId="459BC3DE"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 xml:space="preserve">Calculated criteria weights according to </w:t>
      </w:r>
      <w:r w:rsidRPr="002A63BA">
        <w:rPr>
          <w:rFonts w:ascii="Open Sans" w:hAnsi="Open Sans" w:cs="Open Sans"/>
          <w:b/>
          <w:lang w:val="en-US"/>
        </w:rPr>
        <w:t xml:space="preserve">vendors </w:t>
      </w:r>
      <w:r w:rsidRPr="002A63BA">
        <w:rPr>
          <w:rFonts w:ascii="Open Sans" w:hAnsi="Open Sans" w:cs="Open Sans"/>
          <w:lang w:val="en-US"/>
        </w:rPr>
        <w:t>in</w:t>
      </w:r>
      <w:r w:rsidRPr="002A63BA">
        <w:rPr>
          <w:rFonts w:ascii="Open Sans" w:hAnsi="Open Sans" w:cs="Open Sans"/>
          <w:b/>
          <w:lang w:val="en-US"/>
        </w:rPr>
        <w:t xml:space="preserve"> Slovenia (SLO) </w:t>
      </w:r>
      <w:r w:rsidRPr="002A63BA">
        <w:rPr>
          <w:rFonts w:ascii="Open Sans" w:hAnsi="Open Sans" w:cs="Open Sans"/>
          <w:lang w:val="en-US"/>
        </w:rPr>
        <w:t>and</w:t>
      </w:r>
      <w:r w:rsidRPr="002A63BA">
        <w:rPr>
          <w:rFonts w:ascii="Open Sans" w:hAnsi="Open Sans" w:cs="Open Sans"/>
          <w:b/>
          <w:lang w:val="en-US"/>
        </w:rPr>
        <w:t xml:space="preserve"> Croatia (CRO)</w:t>
      </w:r>
      <w:r w:rsidRPr="002A63BA">
        <w:rPr>
          <w:rFonts w:ascii="Open Sans" w:hAnsi="Open Sans" w:cs="Open Sans"/>
          <w:lang w:val="en-US"/>
        </w:rPr>
        <w:t xml:space="preserve"> have been compared and shown in the table below (Table 4).</w:t>
      </w:r>
    </w:p>
    <w:p w14:paraId="03B5FE8F"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 xml:space="preserve">The top 20% of the highest weights are colored in green, while 20% of the lowest value has been marked with red cells. After observing calculated values, it can be stated that vendors agree only on one criterion – most minor graded </w:t>
      </w:r>
      <w:r w:rsidRPr="002A63BA">
        <w:rPr>
          <w:rFonts w:ascii="Open Sans" w:hAnsi="Open Sans" w:cs="Open Sans"/>
          <w:i/>
          <w:color w:val="000000"/>
          <w:lang w:val="en-US" w:eastAsia="en-GB"/>
        </w:rPr>
        <w:t>Platform provider quality and reputation</w:t>
      </w:r>
      <w:r w:rsidRPr="002A63BA">
        <w:rPr>
          <w:rFonts w:ascii="Open Sans" w:hAnsi="Open Sans" w:cs="Open Sans"/>
          <w:lang w:val="en-US"/>
        </w:rPr>
        <w:t xml:space="preserve">. According to that, it can be said that the agreement level between vendors is 1% (1/15). </w:t>
      </w:r>
    </w:p>
    <w:p w14:paraId="77F35E6E" w14:textId="77777777" w:rsidR="00AE101A" w:rsidRPr="002A63BA" w:rsidRDefault="00AE101A" w:rsidP="00FF3EE4">
      <w:pPr>
        <w:spacing w:line="276" w:lineRule="auto"/>
        <w:rPr>
          <w:rFonts w:ascii="Open Sans" w:hAnsi="Open Sans" w:cs="Open Sans"/>
          <w:lang w:val="en-US"/>
        </w:rPr>
      </w:pPr>
    </w:p>
    <w:p w14:paraId="4E7AA1CA" w14:textId="77777777" w:rsidR="00AE101A" w:rsidRPr="005B1A5A" w:rsidRDefault="00AE101A" w:rsidP="00FF3EE4">
      <w:pPr>
        <w:pStyle w:val="Opisslike"/>
        <w:keepNext/>
        <w:spacing w:line="276" w:lineRule="auto"/>
        <w:rPr>
          <w:rFonts w:ascii="Open Sans" w:hAnsi="Open Sans" w:cs="Open Sans"/>
          <w:i w:val="0"/>
          <w:iCs w:val="0"/>
          <w:sz w:val="22"/>
          <w:szCs w:val="22"/>
        </w:rPr>
      </w:pPr>
      <w:r w:rsidRPr="005B1A5A">
        <w:rPr>
          <w:rFonts w:ascii="Open Sans" w:hAnsi="Open Sans" w:cs="Open Sans"/>
          <w:i w:val="0"/>
          <w:iCs w:val="0"/>
          <w:sz w:val="22"/>
          <w:szCs w:val="22"/>
        </w:rPr>
        <w:t xml:space="preserve">Table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Table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4</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 Croatian and Slovenian vendors</w:t>
      </w:r>
    </w:p>
    <w:tbl>
      <w:tblPr>
        <w:tblW w:w="7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4"/>
        <w:gridCol w:w="1596"/>
        <w:gridCol w:w="1635"/>
      </w:tblGrid>
      <w:tr w:rsidR="00AE101A" w:rsidRPr="002A63BA" w14:paraId="3966048C" w14:textId="77777777" w:rsidTr="005B1A5A">
        <w:trPr>
          <w:trHeight w:val="260"/>
        </w:trPr>
        <w:tc>
          <w:tcPr>
            <w:tcW w:w="0" w:type="auto"/>
            <w:shd w:val="clear" w:color="auto" w:fill="auto"/>
            <w:noWrap/>
            <w:vAlign w:val="bottom"/>
            <w:hideMark/>
          </w:tcPr>
          <w:p w14:paraId="519D97BA"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Criteria</w:t>
            </w:r>
          </w:p>
        </w:tc>
        <w:tc>
          <w:tcPr>
            <w:tcW w:w="0" w:type="auto"/>
            <w:shd w:val="clear" w:color="auto" w:fill="auto"/>
            <w:noWrap/>
            <w:vAlign w:val="bottom"/>
            <w:hideMark/>
          </w:tcPr>
          <w:p w14:paraId="25D29024" w14:textId="77777777" w:rsidR="00AE101A" w:rsidRPr="002A63BA" w:rsidRDefault="00AE101A" w:rsidP="00FF3EE4">
            <w:pPr>
              <w:spacing w:line="276" w:lineRule="auto"/>
              <w:rPr>
                <w:rFonts w:ascii="Open Sans" w:hAnsi="Open Sans" w:cs="Open Sans"/>
                <w:b/>
                <w:bCs/>
                <w:lang w:eastAsia="en-GB"/>
              </w:rPr>
            </w:pPr>
            <w:r w:rsidRPr="002A63BA">
              <w:rPr>
                <w:rFonts w:ascii="Open Sans" w:hAnsi="Open Sans" w:cs="Open Sans"/>
                <w:b/>
                <w:bCs/>
                <w:lang w:eastAsia="en-GB"/>
              </w:rPr>
              <w:t>Vendors SLO</w:t>
            </w:r>
          </w:p>
        </w:tc>
        <w:tc>
          <w:tcPr>
            <w:tcW w:w="1635" w:type="dxa"/>
            <w:shd w:val="clear" w:color="auto" w:fill="auto"/>
            <w:noWrap/>
            <w:vAlign w:val="bottom"/>
            <w:hideMark/>
          </w:tcPr>
          <w:p w14:paraId="19F07931" w14:textId="77777777" w:rsidR="00AE101A" w:rsidRPr="002A63BA" w:rsidRDefault="00AE101A" w:rsidP="00FF3EE4">
            <w:pPr>
              <w:spacing w:line="276" w:lineRule="auto"/>
              <w:rPr>
                <w:rFonts w:ascii="Open Sans" w:hAnsi="Open Sans" w:cs="Open Sans"/>
                <w:b/>
                <w:bCs/>
                <w:lang w:eastAsia="en-GB"/>
              </w:rPr>
            </w:pPr>
            <w:r w:rsidRPr="002A63BA">
              <w:rPr>
                <w:rFonts w:ascii="Open Sans" w:hAnsi="Open Sans" w:cs="Open Sans"/>
                <w:b/>
                <w:bCs/>
                <w:lang w:eastAsia="en-GB"/>
              </w:rPr>
              <w:t>Vendors CRO</w:t>
            </w:r>
          </w:p>
        </w:tc>
      </w:tr>
      <w:tr w:rsidR="00AE101A" w:rsidRPr="002A63BA" w14:paraId="54E70DB2" w14:textId="77777777" w:rsidTr="005B1A5A">
        <w:trPr>
          <w:trHeight w:val="250"/>
        </w:trPr>
        <w:tc>
          <w:tcPr>
            <w:tcW w:w="0" w:type="auto"/>
            <w:shd w:val="clear" w:color="auto" w:fill="auto"/>
            <w:noWrap/>
            <w:vAlign w:val="bottom"/>
            <w:hideMark/>
          </w:tcPr>
          <w:p w14:paraId="19C94E19"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Device management</w:t>
            </w:r>
          </w:p>
        </w:tc>
        <w:tc>
          <w:tcPr>
            <w:tcW w:w="0" w:type="auto"/>
            <w:shd w:val="clear" w:color="auto" w:fill="auto"/>
            <w:noWrap/>
            <w:vAlign w:val="bottom"/>
            <w:hideMark/>
          </w:tcPr>
          <w:p w14:paraId="5AC5C363"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0.063408224</w:t>
            </w:r>
          </w:p>
        </w:tc>
        <w:tc>
          <w:tcPr>
            <w:tcW w:w="1635" w:type="dxa"/>
            <w:shd w:val="clear" w:color="auto" w:fill="C9C9C9" w:themeFill="accent3" w:themeFillTint="99"/>
            <w:noWrap/>
            <w:vAlign w:val="bottom"/>
            <w:hideMark/>
          </w:tcPr>
          <w:p w14:paraId="6FE5908B"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079113189</w:t>
            </w:r>
          </w:p>
        </w:tc>
      </w:tr>
      <w:tr w:rsidR="00AE101A" w:rsidRPr="002A63BA" w14:paraId="35CB038E" w14:textId="77777777" w:rsidTr="005B1A5A">
        <w:trPr>
          <w:trHeight w:val="250"/>
        </w:trPr>
        <w:tc>
          <w:tcPr>
            <w:tcW w:w="0" w:type="auto"/>
            <w:shd w:val="clear" w:color="auto" w:fill="auto"/>
            <w:noWrap/>
            <w:vAlign w:val="bottom"/>
            <w:hideMark/>
          </w:tcPr>
          <w:p w14:paraId="3F054067"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Integration flexibility</w:t>
            </w:r>
          </w:p>
        </w:tc>
        <w:tc>
          <w:tcPr>
            <w:tcW w:w="0" w:type="auto"/>
            <w:shd w:val="clear" w:color="auto" w:fill="auto"/>
            <w:noWrap/>
            <w:vAlign w:val="bottom"/>
            <w:hideMark/>
          </w:tcPr>
          <w:p w14:paraId="478487FC"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0.069923261</w:t>
            </w:r>
          </w:p>
        </w:tc>
        <w:tc>
          <w:tcPr>
            <w:tcW w:w="1635" w:type="dxa"/>
            <w:shd w:val="clear" w:color="auto" w:fill="auto"/>
            <w:noWrap/>
            <w:vAlign w:val="bottom"/>
            <w:hideMark/>
          </w:tcPr>
          <w:p w14:paraId="42619CD9"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0.0586795</w:t>
            </w:r>
          </w:p>
        </w:tc>
      </w:tr>
      <w:tr w:rsidR="00AE101A" w:rsidRPr="002A63BA" w14:paraId="12334D11" w14:textId="77777777" w:rsidTr="005B1A5A">
        <w:trPr>
          <w:trHeight w:val="250"/>
        </w:trPr>
        <w:tc>
          <w:tcPr>
            <w:tcW w:w="0" w:type="auto"/>
            <w:shd w:val="clear" w:color="auto" w:fill="auto"/>
            <w:noWrap/>
            <w:vAlign w:val="bottom"/>
            <w:hideMark/>
          </w:tcPr>
          <w:p w14:paraId="48542671"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availability</w:t>
            </w:r>
          </w:p>
        </w:tc>
        <w:tc>
          <w:tcPr>
            <w:tcW w:w="0" w:type="auto"/>
            <w:shd w:val="clear" w:color="auto" w:fill="C9C9C9" w:themeFill="accent3" w:themeFillTint="99"/>
            <w:noWrap/>
            <w:vAlign w:val="bottom"/>
            <w:hideMark/>
          </w:tcPr>
          <w:p w14:paraId="5F539E4E"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090967943</w:t>
            </w:r>
          </w:p>
        </w:tc>
        <w:tc>
          <w:tcPr>
            <w:tcW w:w="1635" w:type="dxa"/>
            <w:shd w:val="clear" w:color="auto" w:fill="auto"/>
            <w:noWrap/>
            <w:vAlign w:val="bottom"/>
            <w:hideMark/>
          </w:tcPr>
          <w:p w14:paraId="25ED0DB3"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0.055584428</w:t>
            </w:r>
          </w:p>
        </w:tc>
      </w:tr>
      <w:tr w:rsidR="00AE101A" w:rsidRPr="002A63BA" w14:paraId="131053CE" w14:textId="77777777" w:rsidTr="005B1A5A">
        <w:trPr>
          <w:trHeight w:val="250"/>
        </w:trPr>
        <w:tc>
          <w:tcPr>
            <w:tcW w:w="0" w:type="auto"/>
            <w:shd w:val="clear" w:color="auto" w:fill="auto"/>
            <w:noWrap/>
            <w:vAlign w:val="bottom"/>
            <w:hideMark/>
          </w:tcPr>
          <w:p w14:paraId="55205220"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lastRenderedPageBreak/>
              <w:t xml:space="preserve">Platform functionalities </w:t>
            </w:r>
          </w:p>
        </w:tc>
        <w:tc>
          <w:tcPr>
            <w:tcW w:w="0" w:type="auto"/>
            <w:shd w:val="clear" w:color="auto" w:fill="C9C9C9" w:themeFill="accent3" w:themeFillTint="99"/>
            <w:noWrap/>
            <w:vAlign w:val="bottom"/>
            <w:hideMark/>
          </w:tcPr>
          <w:p w14:paraId="53FB845E"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07691157</w:t>
            </w:r>
          </w:p>
        </w:tc>
        <w:tc>
          <w:tcPr>
            <w:tcW w:w="1635" w:type="dxa"/>
            <w:shd w:val="clear" w:color="auto" w:fill="auto"/>
            <w:noWrap/>
            <w:vAlign w:val="bottom"/>
            <w:hideMark/>
          </w:tcPr>
          <w:p w14:paraId="7311F5D1"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0.076955329</w:t>
            </w:r>
          </w:p>
        </w:tc>
      </w:tr>
      <w:tr w:rsidR="00AE101A" w:rsidRPr="002A63BA" w14:paraId="0A67C5B5" w14:textId="77777777" w:rsidTr="005B1A5A">
        <w:trPr>
          <w:trHeight w:val="250"/>
        </w:trPr>
        <w:tc>
          <w:tcPr>
            <w:tcW w:w="0" w:type="auto"/>
            <w:shd w:val="clear" w:color="auto" w:fill="auto"/>
            <w:noWrap/>
            <w:vAlign w:val="bottom"/>
            <w:hideMark/>
          </w:tcPr>
          <w:p w14:paraId="746BC97E"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portability</w:t>
            </w:r>
          </w:p>
        </w:tc>
        <w:tc>
          <w:tcPr>
            <w:tcW w:w="0" w:type="auto"/>
            <w:shd w:val="clear" w:color="auto" w:fill="F7CAAC" w:themeFill="accent2" w:themeFillTint="66"/>
            <w:noWrap/>
            <w:vAlign w:val="bottom"/>
            <w:hideMark/>
          </w:tcPr>
          <w:p w14:paraId="661DE7CC"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0.053895405</w:t>
            </w:r>
          </w:p>
        </w:tc>
        <w:tc>
          <w:tcPr>
            <w:tcW w:w="1635" w:type="dxa"/>
            <w:shd w:val="clear" w:color="auto" w:fill="auto"/>
            <w:noWrap/>
            <w:vAlign w:val="bottom"/>
            <w:hideMark/>
          </w:tcPr>
          <w:p w14:paraId="24527539"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0.068907204</w:t>
            </w:r>
          </w:p>
        </w:tc>
      </w:tr>
      <w:tr w:rsidR="00AE101A" w:rsidRPr="002A63BA" w14:paraId="02FC7E2D" w14:textId="77777777" w:rsidTr="005B1A5A">
        <w:trPr>
          <w:trHeight w:val="250"/>
        </w:trPr>
        <w:tc>
          <w:tcPr>
            <w:tcW w:w="0" w:type="auto"/>
            <w:shd w:val="clear" w:color="auto" w:fill="auto"/>
            <w:noWrap/>
            <w:vAlign w:val="bottom"/>
            <w:hideMark/>
          </w:tcPr>
          <w:p w14:paraId="4A18547F"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 xml:space="preserve">Platform price </w:t>
            </w:r>
          </w:p>
        </w:tc>
        <w:tc>
          <w:tcPr>
            <w:tcW w:w="0" w:type="auto"/>
            <w:shd w:val="clear" w:color="auto" w:fill="auto"/>
            <w:noWrap/>
            <w:vAlign w:val="bottom"/>
            <w:hideMark/>
          </w:tcPr>
          <w:p w14:paraId="226E5844"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0.07280326</w:t>
            </w:r>
          </w:p>
        </w:tc>
        <w:tc>
          <w:tcPr>
            <w:tcW w:w="1635" w:type="dxa"/>
            <w:shd w:val="clear" w:color="auto" w:fill="auto"/>
            <w:noWrap/>
            <w:vAlign w:val="bottom"/>
            <w:hideMark/>
          </w:tcPr>
          <w:p w14:paraId="7E3CF128"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0.078115165</w:t>
            </w:r>
          </w:p>
        </w:tc>
      </w:tr>
      <w:tr w:rsidR="00AE101A" w:rsidRPr="002A63BA" w14:paraId="7C8DDA18" w14:textId="77777777" w:rsidTr="005B1A5A">
        <w:trPr>
          <w:trHeight w:val="260"/>
        </w:trPr>
        <w:tc>
          <w:tcPr>
            <w:tcW w:w="0" w:type="auto"/>
            <w:shd w:val="clear" w:color="auto" w:fill="auto"/>
            <w:noWrap/>
            <w:vAlign w:val="bottom"/>
            <w:hideMark/>
          </w:tcPr>
          <w:p w14:paraId="2B813487"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provider quality and reputation</w:t>
            </w:r>
          </w:p>
        </w:tc>
        <w:tc>
          <w:tcPr>
            <w:tcW w:w="0" w:type="auto"/>
            <w:shd w:val="clear" w:color="auto" w:fill="F7CAAC" w:themeFill="accent2" w:themeFillTint="66"/>
            <w:noWrap/>
            <w:vAlign w:val="bottom"/>
            <w:hideMark/>
          </w:tcPr>
          <w:p w14:paraId="16C8F105" w14:textId="77777777" w:rsidR="00AE101A" w:rsidRPr="002A63BA" w:rsidRDefault="00AE101A" w:rsidP="00FF3EE4">
            <w:pPr>
              <w:spacing w:line="276" w:lineRule="auto"/>
              <w:rPr>
                <w:rFonts w:ascii="Open Sans" w:hAnsi="Open Sans" w:cs="Open Sans"/>
                <w:b/>
                <w:bCs/>
                <w:lang w:eastAsia="en-GB"/>
              </w:rPr>
            </w:pPr>
            <w:r w:rsidRPr="002A63BA">
              <w:rPr>
                <w:rFonts w:ascii="Open Sans" w:hAnsi="Open Sans" w:cs="Open Sans"/>
                <w:b/>
                <w:bCs/>
                <w:lang w:eastAsia="en-GB"/>
              </w:rPr>
              <w:t>0.035686955</w:t>
            </w:r>
          </w:p>
        </w:tc>
        <w:tc>
          <w:tcPr>
            <w:tcW w:w="1635" w:type="dxa"/>
            <w:shd w:val="clear" w:color="auto" w:fill="F7CAAC" w:themeFill="accent2" w:themeFillTint="66"/>
            <w:noWrap/>
            <w:vAlign w:val="bottom"/>
            <w:hideMark/>
          </w:tcPr>
          <w:p w14:paraId="35D30C5B"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0.051922745</w:t>
            </w:r>
          </w:p>
        </w:tc>
      </w:tr>
      <w:tr w:rsidR="00AE101A" w:rsidRPr="002A63BA" w14:paraId="48C13628" w14:textId="77777777" w:rsidTr="005B1A5A">
        <w:trPr>
          <w:trHeight w:val="250"/>
        </w:trPr>
        <w:tc>
          <w:tcPr>
            <w:tcW w:w="0" w:type="auto"/>
            <w:shd w:val="clear" w:color="auto" w:fill="auto"/>
            <w:noWrap/>
            <w:vAlign w:val="bottom"/>
            <w:hideMark/>
          </w:tcPr>
          <w:p w14:paraId="68F4BF28"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reliability</w:t>
            </w:r>
          </w:p>
        </w:tc>
        <w:tc>
          <w:tcPr>
            <w:tcW w:w="0" w:type="auto"/>
            <w:shd w:val="clear" w:color="auto" w:fill="C9C9C9" w:themeFill="accent3" w:themeFillTint="99"/>
            <w:noWrap/>
            <w:vAlign w:val="bottom"/>
            <w:hideMark/>
          </w:tcPr>
          <w:p w14:paraId="105645DD"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088846289</w:t>
            </w:r>
          </w:p>
        </w:tc>
        <w:tc>
          <w:tcPr>
            <w:tcW w:w="1635" w:type="dxa"/>
            <w:shd w:val="clear" w:color="auto" w:fill="auto"/>
            <w:noWrap/>
            <w:vAlign w:val="bottom"/>
            <w:hideMark/>
          </w:tcPr>
          <w:p w14:paraId="58C2EB14"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0.069820768</w:t>
            </w:r>
          </w:p>
        </w:tc>
      </w:tr>
      <w:tr w:rsidR="00AE101A" w:rsidRPr="002A63BA" w14:paraId="30301A26" w14:textId="77777777" w:rsidTr="005B1A5A">
        <w:trPr>
          <w:trHeight w:val="250"/>
        </w:trPr>
        <w:tc>
          <w:tcPr>
            <w:tcW w:w="0" w:type="auto"/>
            <w:shd w:val="clear" w:color="auto" w:fill="auto"/>
            <w:noWrap/>
            <w:vAlign w:val="bottom"/>
            <w:hideMark/>
          </w:tcPr>
          <w:p w14:paraId="374778D8"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 xml:space="preserve">Platform scalability </w:t>
            </w:r>
          </w:p>
        </w:tc>
        <w:tc>
          <w:tcPr>
            <w:tcW w:w="0" w:type="auto"/>
            <w:shd w:val="clear" w:color="auto" w:fill="auto"/>
            <w:noWrap/>
            <w:vAlign w:val="bottom"/>
            <w:hideMark/>
          </w:tcPr>
          <w:p w14:paraId="4BF3C7EA"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0.061162562</w:t>
            </w:r>
          </w:p>
        </w:tc>
        <w:tc>
          <w:tcPr>
            <w:tcW w:w="1635" w:type="dxa"/>
            <w:shd w:val="clear" w:color="auto" w:fill="C9C9C9" w:themeFill="accent3" w:themeFillTint="99"/>
            <w:noWrap/>
            <w:vAlign w:val="bottom"/>
            <w:hideMark/>
          </w:tcPr>
          <w:p w14:paraId="624946DB"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078987849</w:t>
            </w:r>
          </w:p>
        </w:tc>
      </w:tr>
      <w:tr w:rsidR="00AE101A" w:rsidRPr="002A63BA" w14:paraId="03D97ED1" w14:textId="77777777" w:rsidTr="005B1A5A">
        <w:trPr>
          <w:trHeight w:val="250"/>
        </w:trPr>
        <w:tc>
          <w:tcPr>
            <w:tcW w:w="0" w:type="auto"/>
            <w:shd w:val="clear" w:color="auto" w:fill="auto"/>
            <w:noWrap/>
            <w:vAlign w:val="bottom"/>
            <w:hideMark/>
          </w:tcPr>
          <w:p w14:paraId="4067EE6F"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security</w:t>
            </w:r>
          </w:p>
        </w:tc>
        <w:tc>
          <w:tcPr>
            <w:tcW w:w="0" w:type="auto"/>
            <w:shd w:val="clear" w:color="auto" w:fill="auto"/>
            <w:noWrap/>
            <w:vAlign w:val="bottom"/>
            <w:hideMark/>
          </w:tcPr>
          <w:p w14:paraId="6E32EEDD"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0.072086251</w:t>
            </w:r>
          </w:p>
        </w:tc>
        <w:tc>
          <w:tcPr>
            <w:tcW w:w="1635" w:type="dxa"/>
            <w:shd w:val="clear" w:color="auto" w:fill="C9C9C9" w:themeFill="accent3" w:themeFillTint="99"/>
            <w:noWrap/>
            <w:vAlign w:val="bottom"/>
            <w:hideMark/>
          </w:tcPr>
          <w:p w14:paraId="33028C9F"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w:t>
            </w:r>
            <w:r w:rsidRPr="002A63BA">
              <w:rPr>
                <w:rFonts w:ascii="Open Sans" w:hAnsi="Open Sans" w:cs="Open Sans"/>
                <w:shd w:val="clear" w:color="auto" w:fill="C9C9C9" w:themeFill="accent3" w:themeFillTint="99"/>
                <w:lang w:eastAsia="en-GB"/>
              </w:rPr>
              <w:t>078594689</w:t>
            </w:r>
          </w:p>
        </w:tc>
      </w:tr>
      <w:tr w:rsidR="00AE101A" w:rsidRPr="002A63BA" w14:paraId="0111764B" w14:textId="77777777" w:rsidTr="005B1A5A">
        <w:trPr>
          <w:trHeight w:val="250"/>
        </w:trPr>
        <w:tc>
          <w:tcPr>
            <w:tcW w:w="0" w:type="auto"/>
            <w:shd w:val="clear" w:color="auto" w:fill="auto"/>
            <w:noWrap/>
            <w:vAlign w:val="bottom"/>
            <w:hideMark/>
          </w:tcPr>
          <w:p w14:paraId="49E2BD3D"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Platform usability</w:t>
            </w:r>
          </w:p>
        </w:tc>
        <w:tc>
          <w:tcPr>
            <w:tcW w:w="0" w:type="auto"/>
            <w:shd w:val="clear" w:color="auto" w:fill="auto"/>
            <w:noWrap/>
            <w:vAlign w:val="bottom"/>
            <w:hideMark/>
          </w:tcPr>
          <w:p w14:paraId="1A82B889"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0.076407563</w:t>
            </w:r>
          </w:p>
        </w:tc>
        <w:tc>
          <w:tcPr>
            <w:tcW w:w="1635" w:type="dxa"/>
            <w:shd w:val="clear" w:color="auto" w:fill="auto"/>
            <w:noWrap/>
            <w:vAlign w:val="bottom"/>
            <w:hideMark/>
          </w:tcPr>
          <w:p w14:paraId="23EE1E69"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0.072585278</w:t>
            </w:r>
          </w:p>
        </w:tc>
      </w:tr>
      <w:tr w:rsidR="00AE101A" w:rsidRPr="002A63BA" w14:paraId="2FF63780" w14:textId="77777777" w:rsidTr="005B1A5A">
        <w:trPr>
          <w:trHeight w:val="260"/>
        </w:trPr>
        <w:tc>
          <w:tcPr>
            <w:tcW w:w="0" w:type="auto"/>
            <w:shd w:val="clear" w:color="auto" w:fill="auto"/>
            <w:noWrap/>
            <w:vAlign w:val="bottom"/>
            <w:hideMark/>
          </w:tcPr>
          <w:p w14:paraId="15F3CE0D"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Standardization</w:t>
            </w:r>
          </w:p>
        </w:tc>
        <w:tc>
          <w:tcPr>
            <w:tcW w:w="0" w:type="auto"/>
            <w:shd w:val="clear" w:color="auto" w:fill="auto"/>
            <w:noWrap/>
            <w:vAlign w:val="bottom"/>
            <w:hideMark/>
          </w:tcPr>
          <w:p w14:paraId="4534820B"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0.061395405</w:t>
            </w:r>
          </w:p>
        </w:tc>
        <w:tc>
          <w:tcPr>
            <w:tcW w:w="1635" w:type="dxa"/>
            <w:shd w:val="clear" w:color="auto" w:fill="F7CAAC" w:themeFill="accent2" w:themeFillTint="66"/>
            <w:noWrap/>
            <w:vAlign w:val="bottom"/>
            <w:hideMark/>
          </w:tcPr>
          <w:p w14:paraId="0A6DC39E"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0.055387329</w:t>
            </w:r>
          </w:p>
        </w:tc>
      </w:tr>
      <w:tr w:rsidR="00AE101A" w:rsidRPr="002A63BA" w14:paraId="23AED7BB" w14:textId="77777777" w:rsidTr="005B1A5A">
        <w:trPr>
          <w:trHeight w:val="260"/>
        </w:trPr>
        <w:tc>
          <w:tcPr>
            <w:tcW w:w="0" w:type="auto"/>
            <w:shd w:val="clear" w:color="auto" w:fill="auto"/>
            <w:noWrap/>
            <w:vAlign w:val="bottom"/>
            <w:hideMark/>
          </w:tcPr>
          <w:p w14:paraId="13BBFEB2"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Supportability (from vendor/provider)</w:t>
            </w:r>
          </w:p>
        </w:tc>
        <w:tc>
          <w:tcPr>
            <w:tcW w:w="0" w:type="auto"/>
            <w:shd w:val="clear" w:color="auto" w:fill="auto"/>
            <w:noWrap/>
            <w:vAlign w:val="bottom"/>
            <w:hideMark/>
          </w:tcPr>
          <w:p w14:paraId="2E26BA4C"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0.071640406</w:t>
            </w:r>
          </w:p>
        </w:tc>
        <w:tc>
          <w:tcPr>
            <w:tcW w:w="1635" w:type="dxa"/>
            <w:shd w:val="clear" w:color="auto" w:fill="F7CAAC" w:themeFill="accent2" w:themeFillTint="66"/>
            <w:noWrap/>
            <w:vAlign w:val="bottom"/>
            <w:hideMark/>
          </w:tcPr>
          <w:p w14:paraId="1EC5C1F7" w14:textId="77777777" w:rsidR="00AE101A" w:rsidRPr="002A63BA" w:rsidRDefault="00AE101A" w:rsidP="00FF3EE4">
            <w:pPr>
              <w:spacing w:line="276" w:lineRule="auto"/>
              <w:rPr>
                <w:rFonts w:ascii="Open Sans" w:hAnsi="Open Sans" w:cs="Open Sans"/>
                <w:b/>
                <w:bCs/>
                <w:lang w:eastAsia="en-GB"/>
              </w:rPr>
            </w:pPr>
            <w:r w:rsidRPr="002A63BA">
              <w:rPr>
                <w:rFonts w:ascii="Open Sans" w:hAnsi="Open Sans" w:cs="Open Sans"/>
                <w:b/>
                <w:bCs/>
                <w:lang w:eastAsia="en-GB"/>
              </w:rPr>
              <w:t>0.051026439</w:t>
            </w:r>
          </w:p>
        </w:tc>
      </w:tr>
      <w:tr w:rsidR="00AE101A" w:rsidRPr="002A63BA" w14:paraId="6A186B4F" w14:textId="77777777" w:rsidTr="005B1A5A">
        <w:trPr>
          <w:trHeight w:val="250"/>
        </w:trPr>
        <w:tc>
          <w:tcPr>
            <w:tcW w:w="0" w:type="auto"/>
            <w:shd w:val="clear" w:color="auto" w:fill="auto"/>
            <w:noWrap/>
            <w:vAlign w:val="bottom"/>
            <w:hideMark/>
          </w:tcPr>
          <w:p w14:paraId="0596E0DA"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Usefulness of visualization</w:t>
            </w:r>
          </w:p>
        </w:tc>
        <w:tc>
          <w:tcPr>
            <w:tcW w:w="0" w:type="auto"/>
            <w:shd w:val="clear" w:color="auto" w:fill="auto"/>
            <w:noWrap/>
            <w:vAlign w:val="bottom"/>
            <w:hideMark/>
          </w:tcPr>
          <w:p w14:paraId="083CBC5A"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0.057525871</w:t>
            </w:r>
          </w:p>
        </w:tc>
        <w:tc>
          <w:tcPr>
            <w:tcW w:w="1635" w:type="dxa"/>
            <w:shd w:val="clear" w:color="auto" w:fill="auto"/>
            <w:noWrap/>
            <w:vAlign w:val="bottom"/>
            <w:hideMark/>
          </w:tcPr>
          <w:p w14:paraId="1D12822B"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0.05992999</w:t>
            </w:r>
          </w:p>
        </w:tc>
      </w:tr>
      <w:tr w:rsidR="00AE101A" w:rsidRPr="002A63BA" w14:paraId="0C862242" w14:textId="77777777" w:rsidTr="005B1A5A">
        <w:trPr>
          <w:trHeight w:val="250"/>
        </w:trPr>
        <w:tc>
          <w:tcPr>
            <w:tcW w:w="0" w:type="auto"/>
            <w:shd w:val="clear" w:color="auto" w:fill="auto"/>
            <w:noWrap/>
            <w:vAlign w:val="bottom"/>
            <w:hideMark/>
          </w:tcPr>
          <w:p w14:paraId="45D99EAC"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Variety of data analytics tools / possibilities</w:t>
            </w:r>
          </w:p>
        </w:tc>
        <w:tc>
          <w:tcPr>
            <w:tcW w:w="0" w:type="auto"/>
            <w:shd w:val="clear" w:color="auto" w:fill="F7CAAC" w:themeFill="accent2" w:themeFillTint="66"/>
            <w:noWrap/>
            <w:vAlign w:val="bottom"/>
            <w:hideMark/>
          </w:tcPr>
          <w:p w14:paraId="48A918AE"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0.047339033</w:t>
            </w:r>
          </w:p>
        </w:tc>
        <w:tc>
          <w:tcPr>
            <w:tcW w:w="1635" w:type="dxa"/>
            <w:shd w:val="clear" w:color="auto" w:fill="auto"/>
            <w:noWrap/>
            <w:vAlign w:val="bottom"/>
            <w:hideMark/>
          </w:tcPr>
          <w:p w14:paraId="1A24B024" w14:textId="77777777" w:rsidR="00AE101A" w:rsidRPr="002A63BA" w:rsidRDefault="00AE101A" w:rsidP="00FF3EE4">
            <w:pPr>
              <w:spacing w:line="276" w:lineRule="auto"/>
              <w:rPr>
                <w:rFonts w:ascii="Open Sans" w:hAnsi="Open Sans" w:cs="Open Sans"/>
                <w:lang w:eastAsia="en-GB"/>
              </w:rPr>
            </w:pPr>
            <w:r w:rsidRPr="002A63BA">
              <w:rPr>
                <w:rFonts w:ascii="Open Sans" w:hAnsi="Open Sans" w:cs="Open Sans"/>
                <w:lang w:eastAsia="en-GB"/>
              </w:rPr>
              <w:t>0.064390095</w:t>
            </w:r>
          </w:p>
        </w:tc>
      </w:tr>
      <w:tr w:rsidR="00AE101A" w:rsidRPr="002A63BA" w14:paraId="5172FC31" w14:textId="77777777" w:rsidTr="005B1A5A">
        <w:trPr>
          <w:trHeight w:val="250"/>
        </w:trPr>
        <w:tc>
          <w:tcPr>
            <w:tcW w:w="0" w:type="auto"/>
            <w:shd w:val="clear" w:color="auto" w:fill="auto"/>
            <w:noWrap/>
          </w:tcPr>
          <w:p w14:paraId="10DCF4E7" w14:textId="77777777" w:rsidR="00AE101A" w:rsidRPr="002A63BA" w:rsidRDefault="00AE101A" w:rsidP="00FF3EE4">
            <w:pPr>
              <w:spacing w:line="276" w:lineRule="auto"/>
              <w:rPr>
                <w:rFonts w:ascii="Open Sans" w:hAnsi="Open Sans" w:cs="Open Sans"/>
                <w:b/>
              </w:rPr>
            </w:pPr>
            <w:r w:rsidRPr="002A63BA">
              <w:rPr>
                <w:rFonts w:ascii="Open Sans" w:hAnsi="Open Sans" w:cs="Open Sans"/>
                <w:b/>
              </w:rPr>
              <w:t>Max</w:t>
            </w:r>
          </w:p>
        </w:tc>
        <w:tc>
          <w:tcPr>
            <w:tcW w:w="0" w:type="auto"/>
            <w:shd w:val="clear" w:color="auto" w:fill="auto"/>
            <w:noWrap/>
          </w:tcPr>
          <w:p w14:paraId="07ABFADE" w14:textId="77777777" w:rsidR="00AE101A" w:rsidRPr="002A63BA" w:rsidRDefault="00AE101A" w:rsidP="00FF3EE4">
            <w:pPr>
              <w:spacing w:line="276" w:lineRule="auto"/>
              <w:rPr>
                <w:rFonts w:ascii="Open Sans" w:hAnsi="Open Sans" w:cs="Open Sans"/>
              </w:rPr>
            </w:pPr>
            <w:r w:rsidRPr="002A63BA">
              <w:rPr>
                <w:rFonts w:ascii="Open Sans" w:hAnsi="Open Sans" w:cs="Open Sans"/>
              </w:rPr>
              <w:t>0.090967943</w:t>
            </w:r>
          </w:p>
        </w:tc>
        <w:tc>
          <w:tcPr>
            <w:tcW w:w="1635" w:type="dxa"/>
            <w:shd w:val="clear" w:color="auto" w:fill="auto"/>
            <w:noWrap/>
          </w:tcPr>
          <w:p w14:paraId="6BC3CBEC" w14:textId="77777777" w:rsidR="00AE101A" w:rsidRPr="002A63BA" w:rsidRDefault="00AE101A" w:rsidP="00FF3EE4">
            <w:pPr>
              <w:spacing w:line="276" w:lineRule="auto"/>
              <w:rPr>
                <w:rFonts w:ascii="Open Sans" w:hAnsi="Open Sans" w:cs="Open Sans"/>
              </w:rPr>
            </w:pPr>
            <w:r w:rsidRPr="002A63BA">
              <w:rPr>
                <w:rFonts w:ascii="Open Sans" w:hAnsi="Open Sans" w:cs="Open Sans"/>
              </w:rPr>
              <w:t>0.079113189</w:t>
            </w:r>
          </w:p>
        </w:tc>
      </w:tr>
      <w:tr w:rsidR="00AE101A" w:rsidRPr="002A63BA" w14:paraId="3BFC7ACA" w14:textId="77777777" w:rsidTr="005B1A5A">
        <w:trPr>
          <w:trHeight w:val="250"/>
        </w:trPr>
        <w:tc>
          <w:tcPr>
            <w:tcW w:w="0" w:type="auto"/>
            <w:shd w:val="clear" w:color="auto" w:fill="auto"/>
            <w:noWrap/>
          </w:tcPr>
          <w:p w14:paraId="4341CD86" w14:textId="77777777" w:rsidR="00AE101A" w:rsidRPr="002A63BA" w:rsidRDefault="00AE101A" w:rsidP="00FF3EE4">
            <w:pPr>
              <w:spacing w:line="276" w:lineRule="auto"/>
              <w:rPr>
                <w:rFonts w:ascii="Open Sans" w:hAnsi="Open Sans" w:cs="Open Sans"/>
                <w:b/>
              </w:rPr>
            </w:pPr>
            <w:r w:rsidRPr="002A63BA">
              <w:rPr>
                <w:rFonts w:ascii="Open Sans" w:hAnsi="Open Sans" w:cs="Open Sans"/>
                <w:b/>
              </w:rPr>
              <w:t>Min</w:t>
            </w:r>
          </w:p>
        </w:tc>
        <w:tc>
          <w:tcPr>
            <w:tcW w:w="0" w:type="auto"/>
            <w:shd w:val="clear" w:color="auto" w:fill="auto"/>
            <w:noWrap/>
          </w:tcPr>
          <w:p w14:paraId="4E7672D5" w14:textId="77777777" w:rsidR="00AE101A" w:rsidRPr="002A63BA" w:rsidRDefault="00AE101A" w:rsidP="00FF3EE4">
            <w:pPr>
              <w:spacing w:line="276" w:lineRule="auto"/>
              <w:rPr>
                <w:rFonts w:ascii="Open Sans" w:hAnsi="Open Sans" w:cs="Open Sans"/>
              </w:rPr>
            </w:pPr>
            <w:r w:rsidRPr="002A63BA">
              <w:rPr>
                <w:rFonts w:ascii="Open Sans" w:hAnsi="Open Sans" w:cs="Open Sans"/>
              </w:rPr>
              <w:t>0.035686955</w:t>
            </w:r>
          </w:p>
        </w:tc>
        <w:tc>
          <w:tcPr>
            <w:tcW w:w="1635" w:type="dxa"/>
            <w:shd w:val="clear" w:color="auto" w:fill="auto"/>
            <w:noWrap/>
          </w:tcPr>
          <w:p w14:paraId="31203776" w14:textId="77777777" w:rsidR="00AE101A" w:rsidRPr="002A63BA" w:rsidRDefault="00AE101A" w:rsidP="00FF3EE4">
            <w:pPr>
              <w:spacing w:line="276" w:lineRule="auto"/>
              <w:rPr>
                <w:rFonts w:ascii="Open Sans" w:hAnsi="Open Sans" w:cs="Open Sans"/>
              </w:rPr>
            </w:pPr>
            <w:r w:rsidRPr="002A63BA">
              <w:rPr>
                <w:rFonts w:ascii="Open Sans" w:hAnsi="Open Sans" w:cs="Open Sans"/>
              </w:rPr>
              <w:t>0.051026439</w:t>
            </w:r>
          </w:p>
        </w:tc>
      </w:tr>
    </w:tbl>
    <w:p w14:paraId="5FFF77D0" w14:textId="77777777" w:rsidR="00AE101A" w:rsidRPr="002A63BA" w:rsidRDefault="00AE101A" w:rsidP="00FF3EE4">
      <w:pPr>
        <w:spacing w:line="276" w:lineRule="auto"/>
        <w:rPr>
          <w:rFonts w:ascii="Open Sans" w:hAnsi="Open Sans" w:cs="Open Sans"/>
          <w:lang w:val="en-US"/>
        </w:rPr>
      </w:pPr>
    </w:p>
    <w:p w14:paraId="66A45DFF"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Comparison results indicate that difference in perceiving the importance of criteria exists when comparing the results from IoT vendors in Croatia and Slovenia.</w:t>
      </w:r>
    </w:p>
    <w:p w14:paraId="4AB6EE01"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 xml:space="preserve">The most important criterion according to vendors in Slovenia is </w:t>
      </w:r>
      <w:r w:rsidRPr="002A63BA">
        <w:rPr>
          <w:rFonts w:ascii="Open Sans" w:hAnsi="Open Sans" w:cs="Open Sans"/>
          <w:i/>
          <w:lang w:val="en-US"/>
        </w:rPr>
        <w:t>platform availability</w:t>
      </w:r>
      <w:r w:rsidRPr="002A63BA">
        <w:rPr>
          <w:rFonts w:ascii="Open Sans" w:hAnsi="Open Sans" w:cs="Open Sans"/>
          <w:lang w:val="en-US"/>
        </w:rPr>
        <w:t xml:space="preserve">, while vendors in Croatia consider the most important criteria </w:t>
      </w:r>
      <w:r w:rsidRPr="002A63BA">
        <w:rPr>
          <w:rFonts w:ascii="Open Sans" w:hAnsi="Open Sans" w:cs="Open Sans"/>
          <w:i/>
          <w:lang w:val="en-US"/>
        </w:rPr>
        <w:t>device management</w:t>
      </w:r>
      <w:r w:rsidRPr="002A63BA">
        <w:rPr>
          <w:rFonts w:ascii="Open Sans" w:hAnsi="Open Sans" w:cs="Open Sans"/>
          <w:lang w:val="en-US"/>
        </w:rPr>
        <w:t xml:space="preserve">. Criteria </w:t>
      </w:r>
      <w:r w:rsidRPr="002A63BA">
        <w:rPr>
          <w:rFonts w:ascii="Open Sans" w:hAnsi="Open Sans" w:cs="Open Sans"/>
          <w:i/>
          <w:lang w:val="en-US"/>
        </w:rPr>
        <w:t xml:space="preserve">platform provider quality and reputation </w:t>
      </w:r>
      <w:r w:rsidRPr="002A63BA">
        <w:rPr>
          <w:rFonts w:ascii="Open Sans" w:hAnsi="Open Sans" w:cs="Open Sans"/>
          <w:lang w:val="en-US"/>
        </w:rPr>
        <w:t xml:space="preserve">have been graded with the lowest weight according to Slovenian vendors, while Croatian vendors graded </w:t>
      </w:r>
      <w:r w:rsidRPr="002A63BA">
        <w:rPr>
          <w:rFonts w:ascii="Open Sans" w:hAnsi="Open Sans" w:cs="Open Sans"/>
          <w:i/>
          <w:lang w:val="en-US"/>
        </w:rPr>
        <w:t>supportability (from vendor/provider</w:t>
      </w:r>
      <w:r w:rsidRPr="002A63BA">
        <w:rPr>
          <w:rFonts w:ascii="Open Sans" w:hAnsi="Open Sans" w:cs="Open Sans"/>
          <w:lang w:val="en-US"/>
        </w:rPr>
        <w:t>) as the least important.</w:t>
      </w:r>
    </w:p>
    <w:p w14:paraId="66D58B8E"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lastRenderedPageBreak/>
        <w:t>Interestingly, weight values for Slovenia vendors range from 0.035686955 to 0.090967943, while Croatian vendors graded the criteria with a much lower range [0.051026439, 0.079113189].</w:t>
      </w:r>
    </w:p>
    <w:p w14:paraId="2957B5B5"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 xml:space="preserve">When comparing the results collected from </w:t>
      </w:r>
      <w:r w:rsidRPr="002A63BA">
        <w:rPr>
          <w:rFonts w:ascii="Open Sans" w:hAnsi="Open Sans" w:cs="Open Sans"/>
          <w:b/>
          <w:lang w:val="en-US"/>
        </w:rPr>
        <w:t xml:space="preserve">end-users </w:t>
      </w:r>
      <w:r w:rsidRPr="002A63BA">
        <w:rPr>
          <w:rFonts w:ascii="Open Sans" w:hAnsi="Open Sans" w:cs="Open Sans"/>
          <w:lang w:val="en-US"/>
        </w:rPr>
        <w:t>in</w:t>
      </w:r>
      <w:r w:rsidRPr="002A63BA">
        <w:rPr>
          <w:rFonts w:ascii="Open Sans" w:hAnsi="Open Sans" w:cs="Open Sans"/>
          <w:b/>
          <w:lang w:val="en-US"/>
        </w:rPr>
        <w:t xml:space="preserve"> Croatia </w:t>
      </w:r>
      <w:r w:rsidRPr="002A63BA">
        <w:rPr>
          <w:rFonts w:ascii="Open Sans" w:hAnsi="Open Sans" w:cs="Open Sans"/>
          <w:lang w:val="en-US"/>
        </w:rPr>
        <w:t>and</w:t>
      </w:r>
      <w:r w:rsidRPr="002A63BA">
        <w:rPr>
          <w:rFonts w:ascii="Open Sans" w:hAnsi="Open Sans" w:cs="Open Sans"/>
          <w:b/>
          <w:lang w:val="en-US"/>
        </w:rPr>
        <w:t xml:space="preserve"> Slovenia</w:t>
      </w:r>
      <w:r w:rsidRPr="002A63BA">
        <w:rPr>
          <w:rFonts w:ascii="Open Sans" w:hAnsi="Open Sans" w:cs="Open Sans"/>
          <w:lang w:val="en-US"/>
        </w:rPr>
        <w:t xml:space="preserve">, the results show that end-users in Slovenia and Croatia share the opinion on 75% of the top 30% of calculated values. Calculated values are shown in Table 5 and marked as previously noted. </w:t>
      </w:r>
    </w:p>
    <w:p w14:paraId="24E2A28B"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Also, weight values for Slovenia end-users range from 0.049938 to 0.078149, similar to Croatian end-users ranging from 0.051725 to 0.079803.</w:t>
      </w:r>
    </w:p>
    <w:p w14:paraId="25827468" w14:textId="77777777" w:rsidR="00AE101A" w:rsidRPr="002A63BA" w:rsidRDefault="00AE101A" w:rsidP="00FF3EE4">
      <w:pPr>
        <w:spacing w:line="276" w:lineRule="auto"/>
        <w:rPr>
          <w:rFonts w:ascii="Open Sans" w:hAnsi="Open Sans" w:cs="Open Sans"/>
          <w:lang w:val="en-US"/>
        </w:rPr>
      </w:pPr>
      <w:r w:rsidRPr="002A63BA">
        <w:rPr>
          <w:rFonts w:ascii="Open Sans" w:hAnsi="Open Sans" w:cs="Open Sans"/>
          <w:lang w:val="en-US"/>
        </w:rPr>
        <w:t xml:space="preserve">End-users from Slovenia and Croatia have a level of agreement of 33% (they agree on 5 out of 15 criteria). Also, they both graded the criteria </w:t>
      </w:r>
      <w:r w:rsidRPr="002A63BA">
        <w:rPr>
          <w:rFonts w:ascii="Open Sans" w:hAnsi="Open Sans" w:cs="Open Sans"/>
          <w:i/>
          <w:lang w:val="en-US"/>
        </w:rPr>
        <w:t>platform functionality</w:t>
      </w:r>
      <w:r w:rsidRPr="002A63BA">
        <w:rPr>
          <w:rFonts w:ascii="Open Sans" w:hAnsi="Open Sans" w:cs="Open Sans"/>
          <w:lang w:val="en-US"/>
        </w:rPr>
        <w:t xml:space="preserve"> as the most important one.</w:t>
      </w:r>
    </w:p>
    <w:p w14:paraId="78F90F7A" w14:textId="77777777" w:rsidR="00AE101A" w:rsidRPr="005B1A5A" w:rsidRDefault="00AE101A" w:rsidP="00FF3EE4">
      <w:pPr>
        <w:pStyle w:val="Opisslike"/>
        <w:keepNext/>
        <w:spacing w:line="276" w:lineRule="auto"/>
        <w:rPr>
          <w:rFonts w:ascii="Open Sans" w:hAnsi="Open Sans" w:cs="Open Sans"/>
          <w:i w:val="0"/>
          <w:iCs w:val="0"/>
          <w:sz w:val="22"/>
          <w:szCs w:val="22"/>
        </w:rPr>
      </w:pPr>
      <w:r w:rsidRPr="005B1A5A">
        <w:rPr>
          <w:rFonts w:ascii="Open Sans" w:hAnsi="Open Sans" w:cs="Open Sans"/>
          <w:i w:val="0"/>
          <w:iCs w:val="0"/>
          <w:sz w:val="22"/>
          <w:szCs w:val="22"/>
        </w:rPr>
        <w:t xml:space="preserve">Table </w:t>
      </w:r>
      <w:r w:rsidRPr="005B1A5A">
        <w:rPr>
          <w:rFonts w:ascii="Open Sans" w:hAnsi="Open Sans" w:cs="Open Sans"/>
          <w:i w:val="0"/>
          <w:iCs w:val="0"/>
          <w:sz w:val="22"/>
          <w:szCs w:val="22"/>
        </w:rPr>
        <w:fldChar w:fldCharType="begin"/>
      </w:r>
      <w:r w:rsidRPr="005B1A5A">
        <w:rPr>
          <w:rFonts w:ascii="Open Sans" w:hAnsi="Open Sans" w:cs="Open Sans"/>
          <w:i w:val="0"/>
          <w:iCs w:val="0"/>
          <w:sz w:val="22"/>
          <w:szCs w:val="22"/>
        </w:rPr>
        <w:instrText xml:space="preserve"> SEQ Table \* ARABIC </w:instrText>
      </w:r>
      <w:r w:rsidRPr="005B1A5A">
        <w:rPr>
          <w:rFonts w:ascii="Open Sans" w:hAnsi="Open Sans" w:cs="Open Sans"/>
          <w:i w:val="0"/>
          <w:iCs w:val="0"/>
          <w:sz w:val="22"/>
          <w:szCs w:val="22"/>
        </w:rPr>
        <w:fldChar w:fldCharType="separate"/>
      </w:r>
      <w:r w:rsidRPr="005B1A5A">
        <w:rPr>
          <w:rFonts w:ascii="Open Sans" w:hAnsi="Open Sans" w:cs="Open Sans"/>
          <w:i w:val="0"/>
          <w:iCs w:val="0"/>
          <w:noProof/>
          <w:sz w:val="22"/>
          <w:szCs w:val="22"/>
        </w:rPr>
        <w:t>5</w:t>
      </w:r>
      <w:r w:rsidRPr="005B1A5A">
        <w:rPr>
          <w:rFonts w:ascii="Open Sans" w:hAnsi="Open Sans" w:cs="Open Sans"/>
          <w:i w:val="0"/>
          <w:iCs w:val="0"/>
          <w:sz w:val="22"/>
          <w:szCs w:val="22"/>
        </w:rPr>
        <w:fldChar w:fldCharType="end"/>
      </w:r>
      <w:r w:rsidRPr="005B1A5A">
        <w:rPr>
          <w:rFonts w:ascii="Open Sans" w:hAnsi="Open Sans" w:cs="Open Sans"/>
          <w:i w:val="0"/>
          <w:iCs w:val="0"/>
          <w:sz w:val="22"/>
          <w:szCs w:val="22"/>
        </w:rPr>
        <w:t>: End-users from Croatia and Slovenia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0"/>
        <w:gridCol w:w="1611"/>
        <w:gridCol w:w="1647"/>
      </w:tblGrid>
      <w:tr w:rsidR="00AE101A" w:rsidRPr="002A63BA" w14:paraId="3A036357" w14:textId="77777777" w:rsidTr="005B1A5A">
        <w:trPr>
          <w:trHeight w:val="260"/>
        </w:trPr>
        <w:tc>
          <w:tcPr>
            <w:tcW w:w="0" w:type="auto"/>
            <w:shd w:val="clear" w:color="auto" w:fill="auto"/>
            <w:noWrap/>
            <w:vAlign w:val="bottom"/>
            <w:hideMark/>
          </w:tcPr>
          <w:p w14:paraId="05D3BF59"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Criteria</w:t>
            </w:r>
          </w:p>
        </w:tc>
        <w:tc>
          <w:tcPr>
            <w:tcW w:w="0" w:type="auto"/>
            <w:shd w:val="clear" w:color="auto" w:fill="auto"/>
            <w:noWrap/>
            <w:vAlign w:val="bottom"/>
            <w:hideMark/>
          </w:tcPr>
          <w:p w14:paraId="27606EE8" w14:textId="77777777" w:rsidR="00AE101A" w:rsidRPr="002A63BA" w:rsidRDefault="00AE101A" w:rsidP="00FF3EE4">
            <w:pPr>
              <w:spacing w:line="276" w:lineRule="auto"/>
              <w:jc w:val="center"/>
              <w:rPr>
                <w:rFonts w:ascii="Open Sans" w:hAnsi="Open Sans" w:cs="Open Sans"/>
                <w:b/>
                <w:bCs/>
                <w:lang w:val="en-US" w:eastAsia="en-GB"/>
              </w:rPr>
            </w:pPr>
            <w:r w:rsidRPr="002A63BA">
              <w:rPr>
                <w:rFonts w:ascii="Open Sans" w:hAnsi="Open Sans" w:cs="Open Sans"/>
                <w:b/>
                <w:bCs/>
                <w:lang w:val="en-US" w:eastAsia="en-GB"/>
              </w:rPr>
              <w:t>End-users SLO</w:t>
            </w:r>
          </w:p>
        </w:tc>
        <w:tc>
          <w:tcPr>
            <w:tcW w:w="0" w:type="auto"/>
            <w:shd w:val="clear" w:color="auto" w:fill="auto"/>
            <w:noWrap/>
            <w:vAlign w:val="bottom"/>
            <w:hideMark/>
          </w:tcPr>
          <w:p w14:paraId="398B8F40" w14:textId="77777777" w:rsidR="00AE101A" w:rsidRPr="002A63BA" w:rsidRDefault="00AE101A" w:rsidP="00FF3EE4">
            <w:pPr>
              <w:spacing w:line="276" w:lineRule="auto"/>
              <w:jc w:val="center"/>
              <w:rPr>
                <w:rFonts w:ascii="Open Sans" w:hAnsi="Open Sans" w:cs="Open Sans"/>
                <w:b/>
                <w:bCs/>
                <w:lang w:val="en-US" w:eastAsia="en-GB"/>
              </w:rPr>
            </w:pPr>
            <w:r w:rsidRPr="002A63BA">
              <w:rPr>
                <w:rFonts w:ascii="Open Sans" w:hAnsi="Open Sans" w:cs="Open Sans"/>
                <w:b/>
                <w:bCs/>
                <w:lang w:val="en-US" w:eastAsia="en-GB"/>
              </w:rPr>
              <w:t>End-users CRO</w:t>
            </w:r>
          </w:p>
        </w:tc>
      </w:tr>
      <w:tr w:rsidR="00AE101A" w:rsidRPr="002A63BA" w14:paraId="4E75DCC9" w14:textId="77777777" w:rsidTr="005B1A5A">
        <w:trPr>
          <w:trHeight w:val="250"/>
        </w:trPr>
        <w:tc>
          <w:tcPr>
            <w:tcW w:w="0" w:type="auto"/>
            <w:shd w:val="clear" w:color="auto" w:fill="auto"/>
            <w:noWrap/>
            <w:vAlign w:val="bottom"/>
            <w:hideMark/>
          </w:tcPr>
          <w:p w14:paraId="2F06D952"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Device management</w:t>
            </w:r>
          </w:p>
        </w:tc>
        <w:tc>
          <w:tcPr>
            <w:tcW w:w="0" w:type="auto"/>
            <w:shd w:val="clear" w:color="auto" w:fill="auto"/>
            <w:noWrap/>
            <w:vAlign w:val="bottom"/>
            <w:hideMark/>
          </w:tcPr>
          <w:p w14:paraId="34CBFB07"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0.065366</w:t>
            </w:r>
          </w:p>
        </w:tc>
        <w:tc>
          <w:tcPr>
            <w:tcW w:w="0" w:type="auto"/>
            <w:shd w:val="clear" w:color="auto" w:fill="auto"/>
            <w:noWrap/>
            <w:vAlign w:val="bottom"/>
            <w:hideMark/>
          </w:tcPr>
          <w:p w14:paraId="106A0606"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0.073527</w:t>
            </w:r>
          </w:p>
        </w:tc>
      </w:tr>
      <w:tr w:rsidR="00AE101A" w:rsidRPr="002A63BA" w14:paraId="67FE24E9" w14:textId="77777777" w:rsidTr="005B1A5A">
        <w:trPr>
          <w:trHeight w:val="250"/>
        </w:trPr>
        <w:tc>
          <w:tcPr>
            <w:tcW w:w="0" w:type="auto"/>
            <w:shd w:val="clear" w:color="auto" w:fill="auto"/>
            <w:noWrap/>
            <w:vAlign w:val="bottom"/>
            <w:hideMark/>
          </w:tcPr>
          <w:p w14:paraId="1AA3E53C"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Integration flexibility</w:t>
            </w:r>
          </w:p>
        </w:tc>
        <w:tc>
          <w:tcPr>
            <w:tcW w:w="0" w:type="auto"/>
            <w:shd w:val="clear" w:color="auto" w:fill="auto"/>
            <w:noWrap/>
            <w:vAlign w:val="bottom"/>
            <w:hideMark/>
          </w:tcPr>
          <w:p w14:paraId="1C9DFCF3"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0.073976</w:t>
            </w:r>
          </w:p>
        </w:tc>
        <w:tc>
          <w:tcPr>
            <w:tcW w:w="0" w:type="auto"/>
            <w:shd w:val="clear" w:color="auto" w:fill="auto"/>
            <w:noWrap/>
            <w:vAlign w:val="bottom"/>
            <w:hideMark/>
          </w:tcPr>
          <w:p w14:paraId="73FDBB0F"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0.064618</w:t>
            </w:r>
          </w:p>
        </w:tc>
      </w:tr>
      <w:tr w:rsidR="00AE101A" w:rsidRPr="002A63BA" w14:paraId="419C8845" w14:textId="77777777" w:rsidTr="005B1A5A">
        <w:trPr>
          <w:trHeight w:val="250"/>
        </w:trPr>
        <w:tc>
          <w:tcPr>
            <w:tcW w:w="0" w:type="auto"/>
            <w:shd w:val="clear" w:color="auto" w:fill="auto"/>
            <w:noWrap/>
            <w:vAlign w:val="bottom"/>
            <w:hideMark/>
          </w:tcPr>
          <w:p w14:paraId="1BDADF3B"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Platform availability</w:t>
            </w:r>
          </w:p>
        </w:tc>
        <w:tc>
          <w:tcPr>
            <w:tcW w:w="0" w:type="auto"/>
            <w:shd w:val="clear" w:color="auto" w:fill="auto"/>
            <w:noWrap/>
            <w:vAlign w:val="bottom"/>
            <w:hideMark/>
          </w:tcPr>
          <w:p w14:paraId="36B2931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0.072052</w:t>
            </w:r>
          </w:p>
        </w:tc>
        <w:tc>
          <w:tcPr>
            <w:tcW w:w="0" w:type="auto"/>
            <w:shd w:val="clear" w:color="auto" w:fill="F7CAAC" w:themeFill="accent2" w:themeFillTint="66"/>
            <w:noWrap/>
            <w:vAlign w:val="bottom"/>
            <w:hideMark/>
          </w:tcPr>
          <w:p w14:paraId="7BC14C64"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0.056438</w:t>
            </w:r>
          </w:p>
        </w:tc>
      </w:tr>
      <w:tr w:rsidR="00AE101A" w:rsidRPr="002A63BA" w14:paraId="2FCD9F24" w14:textId="77777777" w:rsidTr="005B1A5A">
        <w:trPr>
          <w:trHeight w:val="250"/>
        </w:trPr>
        <w:tc>
          <w:tcPr>
            <w:tcW w:w="0" w:type="auto"/>
            <w:shd w:val="clear" w:color="auto" w:fill="auto"/>
            <w:noWrap/>
            <w:vAlign w:val="bottom"/>
            <w:hideMark/>
          </w:tcPr>
          <w:p w14:paraId="2D24A74B"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 xml:space="preserve">Platform functionalities </w:t>
            </w:r>
          </w:p>
        </w:tc>
        <w:tc>
          <w:tcPr>
            <w:tcW w:w="0" w:type="auto"/>
            <w:shd w:val="clear" w:color="auto" w:fill="C9C9C9" w:themeFill="accent3" w:themeFillTint="99"/>
            <w:noWrap/>
            <w:vAlign w:val="bottom"/>
            <w:hideMark/>
          </w:tcPr>
          <w:p w14:paraId="7232B51F" w14:textId="77777777" w:rsidR="00AE101A" w:rsidRPr="002A63BA" w:rsidRDefault="00AE101A" w:rsidP="00FF3EE4">
            <w:pPr>
              <w:spacing w:line="276" w:lineRule="auto"/>
              <w:jc w:val="center"/>
              <w:rPr>
                <w:rFonts w:ascii="Open Sans" w:hAnsi="Open Sans" w:cs="Open Sans"/>
                <w:b/>
                <w:lang w:val="en-US" w:eastAsia="en-GB"/>
              </w:rPr>
            </w:pPr>
            <w:r w:rsidRPr="002A63BA">
              <w:rPr>
                <w:rFonts w:ascii="Open Sans" w:hAnsi="Open Sans" w:cs="Open Sans"/>
                <w:b/>
                <w:lang w:val="en-US" w:eastAsia="en-GB"/>
              </w:rPr>
              <w:t>0.078149*</w:t>
            </w:r>
          </w:p>
        </w:tc>
        <w:tc>
          <w:tcPr>
            <w:tcW w:w="0" w:type="auto"/>
            <w:shd w:val="clear" w:color="auto" w:fill="C9C9C9" w:themeFill="accent3" w:themeFillTint="99"/>
            <w:noWrap/>
            <w:vAlign w:val="bottom"/>
            <w:hideMark/>
          </w:tcPr>
          <w:p w14:paraId="1E5B4E0A" w14:textId="77777777" w:rsidR="00AE101A" w:rsidRPr="002A63BA" w:rsidRDefault="00AE101A" w:rsidP="00FF3EE4">
            <w:pPr>
              <w:spacing w:line="276" w:lineRule="auto"/>
              <w:jc w:val="center"/>
              <w:rPr>
                <w:rFonts w:ascii="Open Sans" w:hAnsi="Open Sans" w:cs="Open Sans"/>
                <w:b/>
                <w:lang w:val="en-US" w:eastAsia="en-GB"/>
              </w:rPr>
            </w:pPr>
            <w:r w:rsidRPr="002A63BA">
              <w:rPr>
                <w:rFonts w:ascii="Open Sans" w:hAnsi="Open Sans" w:cs="Open Sans"/>
                <w:b/>
                <w:lang w:val="en-US" w:eastAsia="en-GB"/>
              </w:rPr>
              <w:t>0.079803*</w:t>
            </w:r>
          </w:p>
        </w:tc>
      </w:tr>
      <w:tr w:rsidR="00AE101A" w:rsidRPr="002A63BA" w14:paraId="4785B8EA" w14:textId="77777777" w:rsidTr="005B1A5A">
        <w:trPr>
          <w:trHeight w:val="250"/>
        </w:trPr>
        <w:tc>
          <w:tcPr>
            <w:tcW w:w="0" w:type="auto"/>
            <w:shd w:val="clear" w:color="auto" w:fill="auto"/>
            <w:noWrap/>
            <w:vAlign w:val="bottom"/>
            <w:hideMark/>
          </w:tcPr>
          <w:p w14:paraId="7E5EE2D2"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Platform portability</w:t>
            </w:r>
          </w:p>
        </w:tc>
        <w:tc>
          <w:tcPr>
            <w:tcW w:w="0" w:type="auto"/>
            <w:shd w:val="clear" w:color="auto" w:fill="auto"/>
            <w:noWrap/>
            <w:vAlign w:val="bottom"/>
            <w:hideMark/>
          </w:tcPr>
          <w:p w14:paraId="19307BB7"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0.068402</w:t>
            </w:r>
          </w:p>
        </w:tc>
        <w:tc>
          <w:tcPr>
            <w:tcW w:w="0" w:type="auto"/>
            <w:shd w:val="clear" w:color="000000" w:fill="FFC7CE"/>
            <w:noWrap/>
            <w:vAlign w:val="bottom"/>
            <w:hideMark/>
          </w:tcPr>
          <w:p w14:paraId="7406E4D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0.075338</w:t>
            </w:r>
          </w:p>
        </w:tc>
      </w:tr>
      <w:tr w:rsidR="00AE101A" w:rsidRPr="002A63BA" w14:paraId="426E2AA6" w14:textId="77777777" w:rsidTr="005B1A5A">
        <w:trPr>
          <w:trHeight w:val="250"/>
        </w:trPr>
        <w:tc>
          <w:tcPr>
            <w:tcW w:w="0" w:type="auto"/>
            <w:shd w:val="clear" w:color="auto" w:fill="auto"/>
            <w:noWrap/>
            <w:vAlign w:val="bottom"/>
            <w:hideMark/>
          </w:tcPr>
          <w:p w14:paraId="7013B475"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 xml:space="preserve">Platform price </w:t>
            </w:r>
          </w:p>
        </w:tc>
        <w:tc>
          <w:tcPr>
            <w:tcW w:w="0" w:type="auto"/>
            <w:shd w:val="clear" w:color="auto" w:fill="auto"/>
            <w:noWrap/>
            <w:vAlign w:val="bottom"/>
            <w:hideMark/>
          </w:tcPr>
          <w:p w14:paraId="3EFEE956"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0.068501</w:t>
            </w:r>
          </w:p>
        </w:tc>
        <w:tc>
          <w:tcPr>
            <w:tcW w:w="0" w:type="auto"/>
            <w:shd w:val="clear" w:color="auto" w:fill="auto"/>
            <w:noWrap/>
            <w:vAlign w:val="bottom"/>
            <w:hideMark/>
          </w:tcPr>
          <w:p w14:paraId="544A536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0.066489</w:t>
            </w:r>
          </w:p>
        </w:tc>
      </w:tr>
      <w:tr w:rsidR="00AE101A" w:rsidRPr="002A63BA" w14:paraId="173AF4C9" w14:textId="77777777" w:rsidTr="005B1A5A">
        <w:trPr>
          <w:trHeight w:val="260"/>
        </w:trPr>
        <w:tc>
          <w:tcPr>
            <w:tcW w:w="0" w:type="auto"/>
            <w:shd w:val="clear" w:color="auto" w:fill="auto"/>
            <w:noWrap/>
            <w:vAlign w:val="bottom"/>
            <w:hideMark/>
          </w:tcPr>
          <w:p w14:paraId="1766FDCC"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Platform provider quality and reputation</w:t>
            </w:r>
          </w:p>
        </w:tc>
        <w:tc>
          <w:tcPr>
            <w:tcW w:w="0" w:type="auto"/>
            <w:shd w:val="clear" w:color="auto" w:fill="F7CAAC" w:themeFill="accent2" w:themeFillTint="66"/>
            <w:noWrap/>
            <w:vAlign w:val="bottom"/>
            <w:hideMark/>
          </w:tcPr>
          <w:p w14:paraId="65232644"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0.051097</w:t>
            </w:r>
          </w:p>
        </w:tc>
        <w:tc>
          <w:tcPr>
            <w:tcW w:w="0" w:type="auto"/>
            <w:shd w:val="clear" w:color="auto" w:fill="auto"/>
            <w:noWrap/>
            <w:vAlign w:val="bottom"/>
            <w:hideMark/>
          </w:tcPr>
          <w:p w14:paraId="107FF086"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0.057639</w:t>
            </w:r>
          </w:p>
        </w:tc>
      </w:tr>
      <w:tr w:rsidR="00AE101A" w:rsidRPr="002A63BA" w14:paraId="000B23C1" w14:textId="77777777" w:rsidTr="005B1A5A">
        <w:trPr>
          <w:trHeight w:val="250"/>
        </w:trPr>
        <w:tc>
          <w:tcPr>
            <w:tcW w:w="0" w:type="auto"/>
            <w:shd w:val="clear" w:color="auto" w:fill="auto"/>
            <w:noWrap/>
            <w:vAlign w:val="bottom"/>
            <w:hideMark/>
          </w:tcPr>
          <w:p w14:paraId="4BCD8E06"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Platform reliability</w:t>
            </w:r>
          </w:p>
        </w:tc>
        <w:tc>
          <w:tcPr>
            <w:tcW w:w="0" w:type="auto"/>
            <w:shd w:val="clear" w:color="auto" w:fill="auto"/>
            <w:noWrap/>
            <w:vAlign w:val="bottom"/>
            <w:hideMark/>
          </w:tcPr>
          <w:p w14:paraId="27CE4F34"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0.062185</w:t>
            </w:r>
          </w:p>
        </w:tc>
        <w:tc>
          <w:tcPr>
            <w:tcW w:w="0" w:type="auto"/>
            <w:shd w:val="clear" w:color="auto" w:fill="auto"/>
            <w:noWrap/>
            <w:vAlign w:val="bottom"/>
            <w:hideMark/>
          </w:tcPr>
          <w:p w14:paraId="30C13B42"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0.065058</w:t>
            </w:r>
          </w:p>
        </w:tc>
      </w:tr>
      <w:tr w:rsidR="00AE101A" w:rsidRPr="002A63BA" w14:paraId="23215925" w14:textId="77777777" w:rsidTr="005B1A5A">
        <w:trPr>
          <w:trHeight w:val="250"/>
        </w:trPr>
        <w:tc>
          <w:tcPr>
            <w:tcW w:w="0" w:type="auto"/>
            <w:shd w:val="clear" w:color="auto" w:fill="auto"/>
            <w:noWrap/>
            <w:vAlign w:val="bottom"/>
            <w:hideMark/>
          </w:tcPr>
          <w:p w14:paraId="46674F3F"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 xml:space="preserve">Platform scalability </w:t>
            </w:r>
          </w:p>
        </w:tc>
        <w:tc>
          <w:tcPr>
            <w:tcW w:w="0" w:type="auto"/>
            <w:shd w:val="clear" w:color="auto" w:fill="C9C9C9" w:themeFill="accent3" w:themeFillTint="99"/>
            <w:noWrap/>
            <w:vAlign w:val="bottom"/>
            <w:hideMark/>
          </w:tcPr>
          <w:p w14:paraId="0457FD3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0.076901</w:t>
            </w:r>
          </w:p>
        </w:tc>
        <w:tc>
          <w:tcPr>
            <w:tcW w:w="0" w:type="auto"/>
            <w:shd w:val="clear" w:color="auto" w:fill="C9C9C9" w:themeFill="accent3" w:themeFillTint="99"/>
            <w:noWrap/>
            <w:vAlign w:val="bottom"/>
            <w:hideMark/>
          </w:tcPr>
          <w:p w14:paraId="3E9988C9"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0.075378</w:t>
            </w:r>
          </w:p>
        </w:tc>
      </w:tr>
      <w:tr w:rsidR="00AE101A" w:rsidRPr="002A63BA" w14:paraId="3B563F4D" w14:textId="77777777" w:rsidTr="005B1A5A">
        <w:trPr>
          <w:trHeight w:val="250"/>
        </w:trPr>
        <w:tc>
          <w:tcPr>
            <w:tcW w:w="0" w:type="auto"/>
            <w:shd w:val="clear" w:color="auto" w:fill="auto"/>
            <w:noWrap/>
            <w:vAlign w:val="bottom"/>
            <w:hideMark/>
          </w:tcPr>
          <w:p w14:paraId="516596EA"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lastRenderedPageBreak/>
              <w:t>Platform security</w:t>
            </w:r>
          </w:p>
        </w:tc>
        <w:tc>
          <w:tcPr>
            <w:tcW w:w="0" w:type="auto"/>
            <w:shd w:val="clear" w:color="auto" w:fill="C9C9C9" w:themeFill="accent3" w:themeFillTint="99"/>
            <w:noWrap/>
            <w:vAlign w:val="bottom"/>
            <w:hideMark/>
          </w:tcPr>
          <w:p w14:paraId="415B6ADF"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0.077481</w:t>
            </w:r>
          </w:p>
        </w:tc>
        <w:tc>
          <w:tcPr>
            <w:tcW w:w="0" w:type="auto"/>
            <w:shd w:val="clear" w:color="auto" w:fill="C9C9C9" w:themeFill="accent3" w:themeFillTint="99"/>
            <w:noWrap/>
            <w:vAlign w:val="bottom"/>
            <w:hideMark/>
          </w:tcPr>
          <w:p w14:paraId="6B1FBB03"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0.077991</w:t>
            </w:r>
          </w:p>
        </w:tc>
      </w:tr>
      <w:tr w:rsidR="00AE101A" w:rsidRPr="002A63BA" w14:paraId="32E3995A" w14:textId="77777777" w:rsidTr="005B1A5A">
        <w:trPr>
          <w:trHeight w:val="250"/>
        </w:trPr>
        <w:tc>
          <w:tcPr>
            <w:tcW w:w="0" w:type="auto"/>
            <w:shd w:val="clear" w:color="auto" w:fill="auto"/>
            <w:noWrap/>
            <w:vAlign w:val="bottom"/>
            <w:hideMark/>
          </w:tcPr>
          <w:p w14:paraId="76C7454F"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Platform usability</w:t>
            </w:r>
          </w:p>
        </w:tc>
        <w:tc>
          <w:tcPr>
            <w:tcW w:w="0" w:type="auto"/>
            <w:shd w:val="clear" w:color="auto" w:fill="C9C9C9" w:themeFill="accent3" w:themeFillTint="99"/>
            <w:noWrap/>
            <w:vAlign w:val="bottom"/>
            <w:hideMark/>
          </w:tcPr>
          <w:p w14:paraId="55BAEDD2"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0.074301</w:t>
            </w:r>
          </w:p>
        </w:tc>
        <w:tc>
          <w:tcPr>
            <w:tcW w:w="0" w:type="auto"/>
            <w:shd w:val="clear" w:color="auto" w:fill="auto"/>
            <w:noWrap/>
            <w:vAlign w:val="bottom"/>
            <w:hideMark/>
          </w:tcPr>
          <w:p w14:paraId="7F42708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0.071295</w:t>
            </w:r>
          </w:p>
        </w:tc>
      </w:tr>
      <w:tr w:rsidR="00AE101A" w:rsidRPr="002A63BA" w14:paraId="094ED04E" w14:textId="77777777" w:rsidTr="005B1A5A">
        <w:trPr>
          <w:trHeight w:val="260"/>
        </w:trPr>
        <w:tc>
          <w:tcPr>
            <w:tcW w:w="0" w:type="auto"/>
            <w:shd w:val="clear" w:color="auto" w:fill="auto"/>
            <w:noWrap/>
            <w:vAlign w:val="bottom"/>
            <w:hideMark/>
          </w:tcPr>
          <w:p w14:paraId="607ECF0F"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Standardization</w:t>
            </w:r>
          </w:p>
        </w:tc>
        <w:tc>
          <w:tcPr>
            <w:tcW w:w="0" w:type="auto"/>
            <w:shd w:val="clear" w:color="auto" w:fill="F7CAAC" w:themeFill="accent2" w:themeFillTint="66"/>
            <w:noWrap/>
            <w:vAlign w:val="bottom"/>
            <w:hideMark/>
          </w:tcPr>
          <w:p w14:paraId="7BDA6995"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0.05718</w:t>
            </w:r>
          </w:p>
        </w:tc>
        <w:tc>
          <w:tcPr>
            <w:tcW w:w="0" w:type="auto"/>
            <w:shd w:val="clear" w:color="auto" w:fill="F7CAAC" w:themeFill="accent2" w:themeFillTint="66"/>
            <w:noWrap/>
            <w:vAlign w:val="bottom"/>
            <w:hideMark/>
          </w:tcPr>
          <w:p w14:paraId="051171FE" w14:textId="77777777" w:rsidR="00AE101A" w:rsidRPr="002A63BA" w:rsidRDefault="00AE101A" w:rsidP="00FF3EE4">
            <w:pPr>
              <w:spacing w:line="276" w:lineRule="auto"/>
              <w:jc w:val="center"/>
              <w:rPr>
                <w:rFonts w:ascii="Open Sans" w:hAnsi="Open Sans" w:cs="Open Sans"/>
                <w:b/>
                <w:bCs/>
                <w:lang w:val="en-US" w:eastAsia="en-GB"/>
              </w:rPr>
            </w:pPr>
            <w:r w:rsidRPr="002A63BA">
              <w:rPr>
                <w:rFonts w:ascii="Open Sans" w:hAnsi="Open Sans" w:cs="Open Sans"/>
                <w:b/>
                <w:bCs/>
                <w:lang w:val="en-US" w:eastAsia="en-GB"/>
              </w:rPr>
              <w:t>0.051725*</w:t>
            </w:r>
          </w:p>
        </w:tc>
      </w:tr>
      <w:tr w:rsidR="00AE101A" w:rsidRPr="002A63BA" w14:paraId="3FE4EF3C" w14:textId="77777777" w:rsidTr="005B1A5A">
        <w:trPr>
          <w:trHeight w:val="260"/>
        </w:trPr>
        <w:tc>
          <w:tcPr>
            <w:tcW w:w="0" w:type="auto"/>
            <w:shd w:val="clear" w:color="auto" w:fill="auto"/>
            <w:noWrap/>
            <w:vAlign w:val="bottom"/>
            <w:hideMark/>
          </w:tcPr>
          <w:p w14:paraId="2F99E833"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Supportability (from vendor/provider)</w:t>
            </w:r>
          </w:p>
        </w:tc>
        <w:tc>
          <w:tcPr>
            <w:tcW w:w="0" w:type="auto"/>
            <w:shd w:val="clear" w:color="auto" w:fill="F7CAAC" w:themeFill="accent2" w:themeFillTint="66"/>
            <w:noWrap/>
            <w:vAlign w:val="bottom"/>
            <w:hideMark/>
          </w:tcPr>
          <w:p w14:paraId="3E6DB848" w14:textId="77777777" w:rsidR="00AE101A" w:rsidRPr="002A63BA" w:rsidRDefault="00AE101A" w:rsidP="00FF3EE4">
            <w:pPr>
              <w:spacing w:line="276" w:lineRule="auto"/>
              <w:jc w:val="center"/>
              <w:rPr>
                <w:rFonts w:ascii="Open Sans" w:hAnsi="Open Sans" w:cs="Open Sans"/>
                <w:b/>
                <w:bCs/>
                <w:lang w:val="en-US" w:eastAsia="en-GB"/>
              </w:rPr>
            </w:pPr>
            <w:r w:rsidRPr="002A63BA">
              <w:rPr>
                <w:rFonts w:ascii="Open Sans" w:hAnsi="Open Sans" w:cs="Open Sans"/>
                <w:b/>
                <w:bCs/>
                <w:lang w:val="en-US" w:eastAsia="en-GB"/>
              </w:rPr>
              <w:t>0.049938*</w:t>
            </w:r>
          </w:p>
        </w:tc>
        <w:tc>
          <w:tcPr>
            <w:tcW w:w="0" w:type="auto"/>
            <w:shd w:val="clear" w:color="auto" w:fill="F7CAAC" w:themeFill="accent2" w:themeFillTint="66"/>
            <w:noWrap/>
            <w:vAlign w:val="bottom"/>
            <w:hideMark/>
          </w:tcPr>
          <w:p w14:paraId="12436E23"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0.053536</w:t>
            </w:r>
          </w:p>
        </w:tc>
      </w:tr>
      <w:tr w:rsidR="00AE101A" w:rsidRPr="002A63BA" w14:paraId="0950AA64" w14:textId="77777777" w:rsidTr="005B1A5A">
        <w:trPr>
          <w:trHeight w:val="250"/>
        </w:trPr>
        <w:tc>
          <w:tcPr>
            <w:tcW w:w="0" w:type="auto"/>
            <w:shd w:val="clear" w:color="auto" w:fill="auto"/>
            <w:noWrap/>
            <w:vAlign w:val="bottom"/>
            <w:hideMark/>
          </w:tcPr>
          <w:p w14:paraId="4CBAA551"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Usefulness of visualization</w:t>
            </w:r>
          </w:p>
        </w:tc>
        <w:tc>
          <w:tcPr>
            <w:tcW w:w="0" w:type="auto"/>
            <w:shd w:val="clear" w:color="auto" w:fill="auto"/>
            <w:noWrap/>
            <w:vAlign w:val="bottom"/>
            <w:hideMark/>
          </w:tcPr>
          <w:p w14:paraId="2F64EA12"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0.060929</w:t>
            </w:r>
          </w:p>
        </w:tc>
        <w:tc>
          <w:tcPr>
            <w:tcW w:w="0" w:type="auto"/>
            <w:shd w:val="clear" w:color="auto" w:fill="auto"/>
            <w:noWrap/>
            <w:vAlign w:val="bottom"/>
            <w:hideMark/>
          </w:tcPr>
          <w:p w14:paraId="4D747F9E"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0.062425</w:t>
            </w:r>
          </w:p>
        </w:tc>
      </w:tr>
      <w:tr w:rsidR="00AE101A" w:rsidRPr="002A63BA" w14:paraId="5B12641B" w14:textId="77777777" w:rsidTr="005B1A5A">
        <w:trPr>
          <w:trHeight w:val="250"/>
        </w:trPr>
        <w:tc>
          <w:tcPr>
            <w:tcW w:w="0" w:type="auto"/>
            <w:shd w:val="clear" w:color="auto" w:fill="auto"/>
            <w:noWrap/>
            <w:vAlign w:val="bottom"/>
            <w:hideMark/>
          </w:tcPr>
          <w:p w14:paraId="76A57792" w14:textId="77777777" w:rsidR="00AE101A" w:rsidRPr="002A63BA" w:rsidRDefault="00AE101A" w:rsidP="00FF3EE4">
            <w:pPr>
              <w:spacing w:line="276" w:lineRule="auto"/>
              <w:rPr>
                <w:rFonts w:ascii="Open Sans" w:hAnsi="Open Sans" w:cs="Open Sans"/>
                <w:lang w:val="en-US" w:eastAsia="en-GB"/>
              </w:rPr>
            </w:pPr>
            <w:r w:rsidRPr="002A63BA">
              <w:rPr>
                <w:rFonts w:ascii="Open Sans" w:hAnsi="Open Sans" w:cs="Open Sans"/>
                <w:lang w:val="en-US" w:eastAsia="en-GB"/>
              </w:rPr>
              <w:t>Variety of data analytics tools / possibilities</w:t>
            </w:r>
          </w:p>
        </w:tc>
        <w:tc>
          <w:tcPr>
            <w:tcW w:w="0" w:type="auto"/>
            <w:shd w:val="clear" w:color="auto" w:fill="auto"/>
            <w:noWrap/>
            <w:vAlign w:val="bottom"/>
            <w:hideMark/>
          </w:tcPr>
          <w:p w14:paraId="44E9138D"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0.063541</w:t>
            </w:r>
          </w:p>
        </w:tc>
        <w:tc>
          <w:tcPr>
            <w:tcW w:w="0" w:type="auto"/>
            <w:shd w:val="clear" w:color="auto" w:fill="auto"/>
            <w:noWrap/>
            <w:vAlign w:val="bottom"/>
            <w:hideMark/>
          </w:tcPr>
          <w:p w14:paraId="3C9FD746" w14:textId="77777777" w:rsidR="00AE101A" w:rsidRPr="002A63BA" w:rsidRDefault="00AE101A" w:rsidP="00FF3EE4">
            <w:pPr>
              <w:spacing w:line="276" w:lineRule="auto"/>
              <w:jc w:val="center"/>
              <w:rPr>
                <w:rFonts w:ascii="Open Sans" w:hAnsi="Open Sans" w:cs="Open Sans"/>
                <w:lang w:val="en-US" w:eastAsia="en-GB"/>
              </w:rPr>
            </w:pPr>
            <w:r w:rsidRPr="002A63BA">
              <w:rPr>
                <w:rFonts w:ascii="Open Sans" w:hAnsi="Open Sans" w:cs="Open Sans"/>
                <w:lang w:val="en-US" w:eastAsia="en-GB"/>
              </w:rPr>
              <w:t>0.068741</w:t>
            </w:r>
          </w:p>
        </w:tc>
      </w:tr>
      <w:tr w:rsidR="00AE101A" w:rsidRPr="002A63BA" w14:paraId="64BE5B4A" w14:textId="77777777" w:rsidTr="005B1A5A">
        <w:trPr>
          <w:trHeight w:val="250"/>
        </w:trPr>
        <w:tc>
          <w:tcPr>
            <w:tcW w:w="0" w:type="auto"/>
            <w:shd w:val="clear" w:color="auto" w:fill="auto"/>
            <w:noWrap/>
            <w:vAlign w:val="bottom"/>
          </w:tcPr>
          <w:p w14:paraId="6B974B2E" w14:textId="77777777" w:rsidR="00AE101A" w:rsidRPr="002A63BA" w:rsidRDefault="00AE101A" w:rsidP="00FF3EE4">
            <w:pPr>
              <w:spacing w:line="276" w:lineRule="auto"/>
              <w:rPr>
                <w:rFonts w:ascii="Open Sans" w:hAnsi="Open Sans" w:cs="Open Sans"/>
                <w:b/>
              </w:rPr>
            </w:pPr>
            <w:r w:rsidRPr="002A63BA">
              <w:rPr>
                <w:rFonts w:ascii="Open Sans" w:hAnsi="Open Sans" w:cs="Open Sans"/>
                <w:b/>
              </w:rPr>
              <w:t>Max</w:t>
            </w:r>
          </w:p>
        </w:tc>
        <w:tc>
          <w:tcPr>
            <w:tcW w:w="0" w:type="auto"/>
            <w:shd w:val="clear" w:color="auto" w:fill="auto"/>
            <w:noWrap/>
            <w:vAlign w:val="bottom"/>
          </w:tcPr>
          <w:p w14:paraId="262C08B7" w14:textId="77777777" w:rsidR="00AE101A" w:rsidRPr="002A63BA" w:rsidRDefault="00AE101A" w:rsidP="00FF3EE4">
            <w:pPr>
              <w:spacing w:line="276" w:lineRule="auto"/>
              <w:jc w:val="center"/>
              <w:rPr>
                <w:rFonts w:ascii="Open Sans" w:hAnsi="Open Sans" w:cs="Open Sans"/>
                <w:b/>
              </w:rPr>
            </w:pPr>
            <w:r w:rsidRPr="002A63BA">
              <w:rPr>
                <w:rFonts w:ascii="Open Sans" w:hAnsi="Open Sans" w:cs="Open Sans"/>
                <w:b/>
              </w:rPr>
              <w:t>0.078149*</w:t>
            </w:r>
          </w:p>
        </w:tc>
        <w:tc>
          <w:tcPr>
            <w:tcW w:w="0" w:type="auto"/>
            <w:shd w:val="clear" w:color="auto" w:fill="auto"/>
            <w:noWrap/>
            <w:vAlign w:val="bottom"/>
          </w:tcPr>
          <w:p w14:paraId="025728A1" w14:textId="77777777" w:rsidR="00AE101A" w:rsidRPr="002A63BA" w:rsidRDefault="00AE101A" w:rsidP="00FF3EE4">
            <w:pPr>
              <w:spacing w:line="276" w:lineRule="auto"/>
              <w:jc w:val="center"/>
              <w:rPr>
                <w:rFonts w:ascii="Open Sans" w:hAnsi="Open Sans" w:cs="Open Sans"/>
                <w:b/>
              </w:rPr>
            </w:pPr>
            <w:r w:rsidRPr="002A63BA">
              <w:rPr>
                <w:rFonts w:ascii="Open Sans" w:hAnsi="Open Sans" w:cs="Open Sans"/>
                <w:b/>
              </w:rPr>
              <w:t>0.079803*</w:t>
            </w:r>
          </w:p>
        </w:tc>
      </w:tr>
      <w:tr w:rsidR="00AE101A" w:rsidRPr="002A63BA" w14:paraId="1BEA0E56" w14:textId="77777777" w:rsidTr="005B1A5A">
        <w:trPr>
          <w:trHeight w:val="250"/>
        </w:trPr>
        <w:tc>
          <w:tcPr>
            <w:tcW w:w="0" w:type="auto"/>
            <w:shd w:val="clear" w:color="auto" w:fill="auto"/>
            <w:noWrap/>
            <w:vAlign w:val="bottom"/>
          </w:tcPr>
          <w:p w14:paraId="75C10591" w14:textId="77777777" w:rsidR="00AE101A" w:rsidRPr="002A63BA" w:rsidRDefault="00AE101A" w:rsidP="00FF3EE4">
            <w:pPr>
              <w:spacing w:line="276" w:lineRule="auto"/>
              <w:rPr>
                <w:rFonts w:ascii="Open Sans" w:hAnsi="Open Sans" w:cs="Open Sans"/>
                <w:b/>
              </w:rPr>
            </w:pPr>
            <w:r w:rsidRPr="002A63BA">
              <w:rPr>
                <w:rFonts w:ascii="Open Sans" w:hAnsi="Open Sans" w:cs="Open Sans"/>
                <w:b/>
              </w:rPr>
              <w:t>Min</w:t>
            </w:r>
          </w:p>
        </w:tc>
        <w:tc>
          <w:tcPr>
            <w:tcW w:w="0" w:type="auto"/>
            <w:shd w:val="clear" w:color="auto" w:fill="auto"/>
            <w:noWrap/>
            <w:vAlign w:val="bottom"/>
          </w:tcPr>
          <w:p w14:paraId="08FF7ACC" w14:textId="77777777" w:rsidR="00AE101A" w:rsidRPr="002A63BA" w:rsidRDefault="00AE101A" w:rsidP="00FF3EE4">
            <w:pPr>
              <w:spacing w:line="276" w:lineRule="auto"/>
              <w:jc w:val="center"/>
              <w:rPr>
                <w:rFonts w:ascii="Open Sans" w:hAnsi="Open Sans" w:cs="Open Sans"/>
                <w:b/>
              </w:rPr>
            </w:pPr>
            <w:r w:rsidRPr="002A63BA">
              <w:rPr>
                <w:rFonts w:ascii="Open Sans" w:hAnsi="Open Sans" w:cs="Open Sans"/>
                <w:b/>
              </w:rPr>
              <w:t>0.049938*</w:t>
            </w:r>
          </w:p>
        </w:tc>
        <w:tc>
          <w:tcPr>
            <w:tcW w:w="0" w:type="auto"/>
            <w:shd w:val="clear" w:color="auto" w:fill="auto"/>
            <w:noWrap/>
            <w:vAlign w:val="bottom"/>
          </w:tcPr>
          <w:p w14:paraId="4C16A5F9" w14:textId="77777777" w:rsidR="00AE101A" w:rsidRPr="002A63BA" w:rsidRDefault="00AE101A" w:rsidP="00FF3EE4">
            <w:pPr>
              <w:spacing w:line="276" w:lineRule="auto"/>
              <w:jc w:val="center"/>
              <w:rPr>
                <w:rFonts w:ascii="Open Sans" w:hAnsi="Open Sans" w:cs="Open Sans"/>
                <w:b/>
              </w:rPr>
            </w:pPr>
            <w:r w:rsidRPr="002A63BA">
              <w:rPr>
                <w:rFonts w:ascii="Open Sans" w:hAnsi="Open Sans" w:cs="Open Sans"/>
                <w:b/>
              </w:rPr>
              <w:t>0.051725*</w:t>
            </w:r>
          </w:p>
        </w:tc>
      </w:tr>
    </w:tbl>
    <w:p w14:paraId="7D34BAA7" w14:textId="77777777" w:rsidR="00AE101A" w:rsidRPr="002A63BA" w:rsidRDefault="00AE101A" w:rsidP="00FF3EE4">
      <w:pPr>
        <w:keepNext/>
        <w:spacing w:line="276" w:lineRule="auto"/>
        <w:rPr>
          <w:rFonts w:ascii="Open Sans" w:hAnsi="Open Sans" w:cs="Open Sans"/>
          <w:noProof/>
          <w:lang w:eastAsia="en-GB"/>
        </w:rPr>
      </w:pPr>
      <w:r w:rsidRPr="002A63BA">
        <w:rPr>
          <w:rFonts w:ascii="Open Sans" w:hAnsi="Open Sans" w:cs="Open Sans"/>
          <w:noProof/>
          <w:lang w:eastAsia="en-GB"/>
        </w:rPr>
        <w:lastRenderedPageBreak/>
        <w:t>Calculated weights are graphically represented and shown in Figure 4 below. Values are sorted from the highest to the lowest.</w:t>
      </w:r>
    </w:p>
    <w:p w14:paraId="6AE98875" w14:textId="77777777" w:rsidR="00AE101A" w:rsidRPr="002A63BA" w:rsidRDefault="00AE101A" w:rsidP="00FF3EE4">
      <w:pPr>
        <w:keepNext/>
        <w:spacing w:line="276" w:lineRule="auto"/>
        <w:jc w:val="center"/>
        <w:rPr>
          <w:rFonts w:ascii="Open Sans" w:hAnsi="Open Sans" w:cs="Open Sans"/>
          <w:noProof/>
          <w:lang w:eastAsia="en-GB"/>
        </w:rPr>
      </w:pPr>
      <w:r w:rsidRPr="002A63BA">
        <w:rPr>
          <w:rFonts w:ascii="Open Sans" w:hAnsi="Open Sans" w:cs="Open Sans"/>
          <w:noProof/>
          <w:lang w:val="hr-HR" w:eastAsia="hr-HR"/>
        </w:rPr>
        <w:drawing>
          <wp:inline distT="0" distB="0" distL="0" distR="0" wp14:anchorId="15278DA1" wp14:editId="297106D2">
            <wp:extent cx="2806065" cy="2413590"/>
            <wp:effectExtent l="0" t="0" r="0" b="635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oT vendors in Slovenia and Croatia (2).png"/>
                    <pic:cNvPicPr/>
                  </pic:nvPicPr>
                  <pic:blipFill rotWithShape="1">
                    <a:blip r:embed="rId69" cstate="screen">
                      <a:extLst>
                        <a:ext uri="{28A0092B-C50C-407E-A947-70E740481C1C}">
                          <a14:useLocalDpi xmlns:a14="http://schemas.microsoft.com/office/drawing/2010/main"/>
                        </a:ext>
                      </a:extLst>
                    </a:blip>
                    <a:srcRect/>
                    <a:stretch/>
                  </pic:blipFill>
                  <pic:spPr bwMode="auto">
                    <a:xfrm>
                      <a:off x="0" y="0"/>
                      <a:ext cx="2852377" cy="2453425"/>
                    </a:xfrm>
                    <a:prstGeom prst="rect">
                      <a:avLst/>
                    </a:prstGeom>
                    <a:ln>
                      <a:noFill/>
                    </a:ln>
                    <a:extLst>
                      <a:ext uri="{53640926-AAD7-44D8-BBD7-CCE9431645EC}">
                        <a14:shadowObscured xmlns:a14="http://schemas.microsoft.com/office/drawing/2010/main"/>
                      </a:ext>
                    </a:extLst>
                  </pic:spPr>
                </pic:pic>
              </a:graphicData>
            </a:graphic>
          </wp:inline>
        </w:drawing>
      </w:r>
      <w:r w:rsidRPr="002A63BA">
        <w:rPr>
          <w:rFonts w:ascii="Open Sans" w:hAnsi="Open Sans" w:cs="Open Sans"/>
          <w:noProof/>
          <w:lang w:val="hr-HR" w:eastAsia="hr-HR"/>
        </w:rPr>
        <w:drawing>
          <wp:inline distT="0" distB="0" distL="0" distR="0" wp14:anchorId="701F7C01" wp14:editId="02E52AC7">
            <wp:extent cx="2868295" cy="2349795"/>
            <wp:effectExtent l="0" t="0" r="8255" b="0"/>
            <wp:docPr id="3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nd-users from Slovenia and Croatia (1).png"/>
                    <pic:cNvPicPr/>
                  </pic:nvPicPr>
                  <pic:blipFill rotWithShape="1">
                    <a:blip r:embed="rId70" cstate="screen">
                      <a:extLst>
                        <a:ext uri="{28A0092B-C50C-407E-A947-70E740481C1C}">
                          <a14:useLocalDpi xmlns:a14="http://schemas.microsoft.com/office/drawing/2010/main"/>
                        </a:ext>
                      </a:extLst>
                    </a:blip>
                    <a:srcRect/>
                    <a:stretch/>
                  </pic:blipFill>
                  <pic:spPr bwMode="auto">
                    <a:xfrm>
                      <a:off x="0" y="0"/>
                      <a:ext cx="2883997" cy="2362659"/>
                    </a:xfrm>
                    <a:prstGeom prst="rect">
                      <a:avLst/>
                    </a:prstGeom>
                    <a:ln>
                      <a:noFill/>
                    </a:ln>
                    <a:extLst>
                      <a:ext uri="{53640926-AAD7-44D8-BBD7-CCE9431645EC}">
                        <a14:shadowObscured xmlns:a14="http://schemas.microsoft.com/office/drawing/2010/main"/>
                      </a:ext>
                    </a:extLst>
                  </pic:spPr>
                </pic:pic>
              </a:graphicData>
            </a:graphic>
          </wp:inline>
        </w:drawing>
      </w:r>
    </w:p>
    <w:p w14:paraId="1C24F102" w14:textId="77777777" w:rsidR="00AE101A" w:rsidRPr="002A63BA" w:rsidRDefault="00AE101A" w:rsidP="00FF3EE4">
      <w:pPr>
        <w:pStyle w:val="Opisslike"/>
        <w:spacing w:line="276" w:lineRule="auto"/>
        <w:jc w:val="left"/>
        <w:rPr>
          <w:rFonts w:ascii="Open Sans" w:hAnsi="Open Sans" w:cs="Open Sans"/>
          <w:sz w:val="22"/>
          <w:szCs w:val="22"/>
        </w:rPr>
      </w:pPr>
      <w:r w:rsidRPr="005B1A5A">
        <w:rPr>
          <w:rFonts w:ascii="Open Sans" w:hAnsi="Open Sans" w:cs="Open Sans"/>
          <w:i w:val="0"/>
          <w:iCs w:val="0"/>
          <w:sz w:val="22"/>
          <w:szCs w:val="22"/>
        </w:rPr>
        <w:t>Figure 3</w:t>
      </w:r>
      <w:r w:rsidRPr="002A63BA">
        <w:rPr>
          <w:rFonts w:ascii="Open Sans" w:hAnsi="Open Sans" w:cs="Open Sans"/>
          <w:sz w:val="22"/>
          <w:szCs w:val="22"/>
        </w:rPr>
        <w:t xml:space="preserve">. </w:t>
      </w:r>
      <w:r w:rsidRPr="002A63BA">
        <w:rPr>
          <w:rFonts w:ascii="Open Sans" w:hAnsi="Open Sans" w:cs="Open Sans"/>
          <w:iCs w:val="0"/>
          <w:sz w:val="22"/>
          <w:szCs w:val="22"/>
        </w:rPr>
        <w:t>Comparison between Slovenian and Croatian experts</w:t>
      </w:r>
    </w:p>
    <w:p w14:paraId="0DB2B36D"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To investigate possible discrepancies and agreement on each criterion, another graphical presentation has been done. The graph shown in Figure 7 presents this study's main results. </w:t>
      </w:r>
    </w:p>
    <w:p w14:paraId="1B9A01D7" w14:textId="77777777" w:rsidR="00AE101A" w:rsidRPr="002A63BA" w:rsidRDefault="00AE101A" w:rsidP="00FF3EE4">
      <w:pPr>
        <w:pStyle w:val="SORtekst"/>
        <w:spacing w:line="276" w:lineRule="auto"/>
        <w:rPr>
          <w:rFonts w:ascii="Open Sans" w:hAnsi="Open Sans" w:cs="Open Sans"/>
          <w:szCs w:val="22"/>
          <w:lang w:val="en-GB"/>
        </w:rPr>
      </w:pPr>
    </w:p>
    <w:p w14:paraId="7E455325" w14:textId="77777777" w:rsidR="00AE101A" w:rsidRPr="002A63BA" w:rsidRDefault="00AE101A" w:rsidP="00FF3EE4">
      <w:pPr>
        <w:pStyle w:val="SORtekst"/>
        <w:keepNext/>
        <w:spacing w:line="276" w:lineRule="auto"/>
        <w:jc w:val="center"/>
        <w:rPr>
          <w:rFonts w:ascii="Open Sans" w:hAnsi="Open Sans" w:cs="Open Sans"/>
          <w:szCs w:val="22"/>
        </w:rPr>
      </w:pPr>
      <w:r w:rsidRPr="002A63BA">
        <w:rPr>
          <w:rFonts w:ascii="Open Sans" w:hAnsi="Open Sans" w:cs="Open Sans"/>
          <w:noProof/>
          <w:szCs w:val="22"/>
          <w:lang w:val="hr-HR" w:eastAsia="hr-HR"/>
        </w:rPr>
        <w:lastRenderedPageBreak/>
        <w:drawing>
          <wp:inline distT="0" distB="0" distL="0" distR="0" wp14:anchorId="2CA6C3E0" wp14:editId="68FE31CB">
            <wp:extent cx="4780899" cy="2968831"/>
            <wp:effectExtent l="0" t="0" r="1270" b="3175"/>
            <wp:docPr id="33"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44939B91" w14:textId="77777777" w:rsidR="00AE101A" w:rsidRPr="002A63BA" w:rsidRDefault="00AE101A" w:rsidP="00FF3EE4">
      <w:pPr>
        <w:pStyle w:val="Opisslike"/>
        <w:spacing w:line="276" w:lineRule="auto"/>
        <w:jc w:val="left"/>
        <w:rPr>
          <w:rFonts w:ascii="Open Sans" w:hAnsi="Open Sans" w:cs="Open Sans"/>
          <w:i w:val="0"/>
          <w:iCs w:val="0"/>
          <w:sz w:val="22"/>
          <w:szCs w:val="22"/>
        </w:rPr>
      </w:pPr>
      <w:r w:rsidRPr="005B1A5A">
        <w:rPr>
          <w:rFonts w:ascii="Open Sans" w:hAnsi="Open Sans" w:cs="Open Sans"/>
          <w:i w:val="0"/>
          <w:iCs w:val="0"/>
          <w:sz w:val="22"/>
          <w:szCs w:val="22"/>
        </w:rPr>
        <w:t>Figure 4.</w:t>
      </w:r>
      <w:r w:rsidRPr="002A63BA">
        <w:rPr>
          <w:rFonts w:ascii="Open Sans" w:hAnsi="Open Sans" w:cs="Open Sans"/>
          <w:sz w:val="22"/>
          <w:szCs w:val="22"/>
        </w:rPr>
        <w:t xml:space="preserve"> </w:t>
      </w:r>
      <w:r w:rsidRPr="002A63BA">
        <w:rPr>
          <w:rFonts w:ascii="Open Sans" w:hAnsi="Open Sans" w:cs="Open Sans"/>
          <w:iCs w:val="0"/>
          <w:sz w:val="22"/>
          <w:szCs w:val="22"/>
        </w:rPr>
        <w:t>Comparison of criteria evaluation</w:t>
      </w:r>
    </w:p>
    <w:p w14:paraId="0E161AF9" w14:textId="45FE6AE4" w:rsidR="00AE101A" w:rsidRPr="002A63BA" w:rsidRDefault="00AE101A" w:rsidP="00FF3EE4">
      <w:pPr>
        <w:spacing w:line="276" w:lineRule="auto"/>
        <w:rPr>
          <w:rFonts w:ascii="Open Sans" w:hAnsi="Open Sans" w:cs="Open Sans"/>
        </w:rPr>
      </w:pPr>
      <w:r w:rsidRPr="002A63BA">
        <w:rPr>
          <w:rFonts w:ascii="Open Sans" w:hAnsi="Open Sans" w:cs="Open Sans"/>
        </w:rPr>
        <w:t xml:space="preserve">After calculating and analyzing criteria weights for each of the expert groups, it can be concluded that the most similar criteria weights are for (1) </w:t>
      </w:r>
      <w:r w:rsidRPr="002A63BA">
        <w:rPr>
          <w:rFonts w:ascii="Open Sans" w:hAnsi="Open Sans" w:cs="Open Sans"/>
          <w:i/>
        </w:rPr>
        <w:t xml:space="preserve">platform functionality, (2) platform security, (3) platform usability, (4) standardization, </w:t>
      </w:r>
      <w:r w:rsidRPr="002A63BA">
        <w:rPr>
          <w:rFonts w:ascii="Open Sans" w:hAnsi="Open Sans" w:cs="Open Sans"/>
        </w:rPr>
        <w:t>and</w:t>
      </w:r>
      <w:r w:rsidRPr="002A63BA">
        <w:rPr>
          <w:rFonts w:ascii="Open Sans" w:hAnsi="Open Sans" w:cs="Open Sans"/>
          <w:i/>
        </w:rPr>
        <w:t xml:space="preserve"> (5) usefulness of</w:t>
      </w:r>
      <w:r w:rsidRPr="002A63BA">
        <w:rPr>
          <w:rFonts w:ascii="Open Sans" w:hAnsi="Open Sans" w:cs="Open Sans"/>
        </w:rPr>
        <w:t xml:space="preserve"> </w:t>
      </w:r>
      <w:r w:rsidRPr="002A63BA">
        <w:rPr>
          <w:rFonts w:ascii="Open Sans" w:hAnsi="Open Sans" w:cs="Open Sans"/>
          <w:i/>
        </w:rPr>
        <w:t>visualization</w:t>
      </w:r>
      <w:r w:rsidRPr="002A63BA">
        <w:rPr>
          <w:rFonts w:ascii="Open Sans" w:hAnsi="Open Sans" w:cs="Open Sans"/>
        </w:rPr>
        <w:t xml:space="preserve">. Opinions that differ the most are the ones from Slovenia vendors. In addition, </w:t>
      </w:r>
      <w:r w:rsidRPr="002A63BA">
        <w:rPr>
          <w:rFonts w:ascii="Open Sans" w:hAnsi="Open Sans" w:cs="Open Sans"/>
          <w:b/>
        </w:rPr>
        <w:t>platform functionality</w:t>
      </w:r>
      <w:r w:rsidRPr="002A63BA">
        <w:rPr>
          <w:rFonts w:ascii="Open Sans" w:hAnsi="Open Sans" w:cs="Open Sans"/>
        </w:rPr>
        <w:t xml:space="preserve"> was graded above 0.7 by each expert. </w:t>
      </w:r>
    </w:p>
    <w:p w14:paraId="01158C6A" w14:textId="0845479C" w:rsidR="00AE101A" w:rsidRPr="002A63BA" w:rsidRDefault="00AE101A" w:rsidP="005B1A5A">
      <w:pPr>
        <w:pStyle w:val="N1"/>
      </w:pPr>
      <w:r w:rsidRPr="002A63BA">
        <w:t xml:space="preserve">DISCUSSION </w:t>
      </w:r>
    </w:p>
    <w:p w14:paraId="32B87CB3"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The goal of this paper was initially to examine criteria weights for the selection IoT platforms according to end-users and vendors and compare the results between Croatia and Slovenia. Accordingly, this research helps to answer the question of </w:t>
      </w:r>
      <w:r w:rsidRPr="002A63BA">
        <w:rPr>
          <w:rFonts w:ascii="Open Sans" w:hAnsi="Open Sans" w:cs="Open Sans"/>
          <w:i/>
        </w:rPr>
        <w:t>whether differences exist in the perceived importance of IoT platforms' selection criteria between end-users and vendors in Croatia and Slovenia</w:t>
      </w:r>
      <w:r w:rsidRPr="002A63BA">
        <w:rPr>
          <w:rFonts w:ascii="Open Sans" w:hAnsi="Open Sans" w:cs="Open Sans"/>
        </w:rPr>
        <w:t xml:space="preserve">. </w:t>
      </w:r>
    </w:p>
    <w:p w14:paraId="6A94AFB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It is interesting to point out that results from end-users in Croatia and Slovenia are very similar. To be precise, they agree on 75% of the top 20% criteria and the least 20% criteria. End-users in Croatia and Slovenia agree </w:t>
      </w:r>
      <w:r w:rsidRPr="002A63BA">
        <w:rPr>
          <w:rFonts w:ascii="Open Sans" w:hAnsi="Open Sans" w:cs="Open Sans"/>
        </w:rPr>
        <w:lastRenderedPageBreak/>
        <w:t xml:space="preserve">on the most important criteria: </w:t>
      </w:r>
      <w:r w:rsidRPr="002A63BA">
        <w:rPr>
          <w:rFonts w:ascii="Open Sans" w:hAnsi="Open Sans" w:cs="Open Sans"/>
          <w:i/>
        </w:rPr>
        <w:t>functionality</w:t>
      </w:r>
      <w:r w:rsidRPr="002A63BA">
        <w:rPr>
          <w:rFonts w:ascii="Open Sans" w:hAnsi="Open Sans" w:cs="Open Sans"/>
        </w:rPr>
        <w:t xml:space="preserve">, </w:t>
      </w:r>
      <w:r w:rsidRPr="002A63BA">
        <w:rPr>
          <w:rFonts w:ascii="Open Sans" w:hAnsi="Open Sans" w:cs="Open Sans"/>
          <w:i/>
        </w:rPr>
        <w:t>scalability</w:t>
      </w:r>
      <w:r w:rsidRPr="002A63BA">
        <w:rPr>
          <w:rFonts w:ascii="Open Sans" w:hAnsi="Open Sans" w:cs="Open Sans"/>
        </w:rPr>
        <w:t xml:space="preserve"> and </w:t>
      </w:r>
      <w:r w:rsidRPr="002A63BA">
        <w:rPr>
          <w:rFonts w:ascii="Open Sans" w:hAnsi="Open Sans" w:cs="Open Sans"/>
          <w:i/>
        </w:rPr>
        <w:t>security</w:t>
      </w:r>
      <w:r w:rsidRPr="002A63BA">
        <w:rPr>
          <w:rFonts w:ascii="Open Sans" w:hAnsi="Open Sans" w:cs="Open Sans"/>
        </w:rPr>
        <w:t xml:space="preserve"> (each having weight above 0.7). In addition, they also agree on the least important criteria: </w:t>
      </w:r>
      <w:r w:rsidRPr="002A63BA">
        <w:rPr>
          <w:rFonts w:ascii="Open Sans" w:hAnsi="Open Sans" w:cs="Open Sans"/>
          <w:i/>
        </w:rPr>
        <w:t>standardization</w:t>
      </w:r>
      <w:r w:rsidRPr="002A63BA">
        <w:rPr>
          <w:rFonts w:ascii="Open Sans" w:hAnsi="Open Sans" w:cs="Open Sans"/>
        </w:rPr>
        <w:t xml:space="preserve"> and </w:t>
      </w:r>
      <w:r w:rsidRPr="002A63BA">
        <w:rPr>
          <w:rFonts w:ascii="Open Sans" w:hAnsi="Open Sans" w:cs="Open Sans"/>
          <w:i/>
        </w:rPr>
        <w:t>supportability</w:t>
      </w:r>
      <w:r w:rsidRPr="002A63BA">
        <w:rPr>
          <w:rFonts w:ascii="Open Sans" w:hAnsi="Open Sans" w:cs="Open Sans"/>
        </w:rPr>
        <w:t xml:space="preserve"> unlike vendors, where when comparing the top 20% criteria and the lowest 20% only one criterion was equally evaluated. Both expert groups grade </w:t>
      </w:r>
      <w:r w:rsidRPr="002A63BA">
        <w:rPr>
          <w:rFonts w:ascii="Open Sans" w:hAnsi="Open Sans" w:cs="Open Sans"/>
          <w:i/>
        </w:rPr>
        <w:t>vendors' quality and reputation</w:t>
      </w:r>
      <w:r w:rsidRPr="002A63BA">
        <w:rPr>
          <w:rFonts w:ascii="Open Sans" w:hAnsi="Open Sans" w:cs="Open Sans"/>
        </w:rPr>
        <w:t xml:space="preserve"> as the least important ones (lower 20%). Even though the </w:t>
      </w:r>
      <w:r w:rsidRPr="002A63BA">
        <w:rPr>
          <w:rFonts w:ascii="Open Sans" w:hAnsi="Open Sans" w:cs="Open Sans"/>
          <w:i/>
        </w:rPr>
        <w:t>reliability</w:t>
      </w:r>
      <w:r w:rsidRPr="002A63BA">
        <w:rPr>
          <w:rFonts w:ascii="Open Sans" w:hAnsi="Open Sans" w:cs="Open Sans"/>
        </w:rPr>
        <w:t xml:space="preserve"> of IoT platforms has been highlighted as important </w:t>
      </w:r>
      <w:r w:rsidRPr="002A63BA">
        <w:rPr>
          <w:rFonts w:ascii="Open Sans" w:hAnsi="Open Sans" w:cs="Open Sans"/>
        </w:rPr>
        <w:fldChar w:fldCharType="begin" w:fldLock="1"/>
      </w:r>
      <w:r w:rsidRPr="002A63BA">
        <w:rPr>
          <w:rFonts w:ascii="Open Sans" w:hAnsi="Open Sans" w:cs="Open Sans"/>
        </w:rPr>
        <w:instrText>ADDIN CSL_CITATION {"citationItems":[{"id":"ITEM-1","itemData":{"DOI":"10.1016/j.techsoc.2019.101216","ISSN":"0160791X","abstract":"Various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Society","id":"ITEM-1","issue":"October 2019","issued":{"date-parts":[["2020"]]},"page":"101216","publisher":"Elsevier Ltd","title":"A multi-criteria analysis for an internet of things application recommendation system","type":"article-journal","volume":"60"},"uris":["http://www.mendeley.com/documents/?uuid=494cebf4-8679-46c0-806c-09d3c14188a8"]}],"mendeley":{"formattedCitation":"(Mashal, Alsaryrah and Chung, 2020)","plainTextFormattedCitation":"(Mashal, Alsaryrah and Chung, 2020)","previouslyFormattedCitation":"(Mashal, Alsaryrah and Chung, 2020)"},"properties":{"noteIndex":0},"schema":"https://github.com/citation-style-language/schema/raw/master/csl-citation.json"}</w:instrText>
      </w:r>
      <w:r w:rsidRPr="002A63BA">
        <w:rPr>
          <w:rFonts w:ascii="Open Sans" w:hAnsi="Open Sans" w:cs="Open Sans"/>
        </w:rPr>
        <w:fldChar w:fldCharType="separate"/>
      </w:r>
      <w:r w:rsidRPr="002A63BA">
        <w:rPr>
          <w:rFonts w:ascii="Open Sans" w:hAnsi="Open Sans" w:cs="Open Sans"/>
          <w:noProof/>
        </w:rPr>
        <w:t>(Mashal, Alsaryrah and Chung, 2020)</w:t>
      </w:r>
      <w:r w:rsidRPr="002A63BA">
        <w:rPr>
          <w:rFonts w:ascii="Open Sans" w:hAnsi="Open Sans" w:cs="Open Sans"/>
        </w:rPr>
        <w:fldChar w:fldCharType="end"/>
      </w:r>
      <w:r w:rsidRPr="002A63BA">
        <w:rPr>
          <w:rFonts w:ascii="Open Sans" w:hAnsi="Open Sans" w:cs="Open Sans"/>
        </w:rPr>
        <w:t>, none of the expert groups evaluated it as the most important criteria.</w:t>
      </w:r>
    </w:p>
    <w:p w14:paraId="65264999" w14:textId="77777777" w:rsidR="00AE101A" w:rsidRPr="002A63BA" w:rsidRDefault="00AE101A" w:rsidP="00FF3EE4">
      <w:pPr>
        <w:spacing w:line="276" w:lineRule="auto"/>
        <w:rPr>
          <w:rFonts w:ascii="Open Sans" w:hAnsi="Open Sans" w:cs="Open Sans"/>
        </w:rPr>
      </w:pPr>
      <w:r w:rsidRPr="002A63BA">
        <w:rPr>
          <w:rFonts w:ascii="Open Sans" w:hAnsi="Open Sans" w:cs="Open Sans"/>
        </w:rPr>
        <w:t xml:space="preserve">It is also interesting to point out that vendors in Slovenia consider </w:t>
      </w:r>
      <w:r w:rsidRPr="002A63BA">
        <w:rPr>
          <w:rFonts w:ascii="Open Sans" w:hAnsi="Open Sans" w:cs="Open Sans"/>
          <w:i/>
        </w:rPr>
        <w:t>platform availability</w:t>
      </w:r>
      <w:r w:rsidRPr="002A63BA">
        <w:rPr>
          <w:rFonts w:ascii="Open Sans" w:hAnsi="Open Sans" w:cs="Open Sans"/>
        </w:rPr>
        <w:t xml:space="preserve"> as the most important while Croatian vendors believe it is </w:t>
      </w:r>
      <w:r w:rsidRPr="002A63BA">
        <w:rPr>
          <w:rFonts w:ascii="Open Sans" w:hAnsi="Open Sans" w:cs="Open Sans"/>
          <w:i/>
        </w:rPr>
        <w:t>device management</w:t>
      </w:r>
      <w:r w:rsidRPr="002A63BA">
        <w:rPr>
          <w:rFonts w:ascii="Open Sans" w:hAnsi="Open Sans" w:cs="Open Sans"/>
        </w:rPr>
        <w:t xml:space="preserve">. However, when compared to the end-users perspective, it is quite the opposite. Croatian and end-users consider platform </w:t>
      </w:r>
      <w:r w:rsidRPr="002A63BA">
        <w:rPr>
          <w:rFonts w:ascii="Open Sans" w:hAnsi="Open Sans" w:cs="Open Sans"/>
          <w:i/>
        </w:rPr>
        <w:t>functionality</w:t>
      </w:r>
      <w:r w:rsidRPr="002A63BA">
        <w:rPr>
          <w:rFonts w:ascii="Open Sans" w:hAnsi="Open Sans" w:cs="Open Sans"/>
        </w:rPr>
        <w:t xml:space="preserve"> as the most important criteria. </w:t>
      </w:r>
    </w:p>
    <w:p w14:paraId="08E25EA2" w14:textId="2D1A10E5" w:rsidR="00AE101A" w:rsidRPr="002A63BA" w:rsidRDefault="00AE101A" w:rsidP="005B1A5A">
      <w:pPr>
        <w:pStyle w:val="N1"/>
      </w:pPr>
      <w:r w:rsidRPr="002A63BA">
        <w:t xml:space="preserve">CONCLUSION </w:t>
      </w:r>
    </w:p>
    <w:p w14:paraId="6F551D7A"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This paper aimed to propose the most important criteria to be considered by relevant end-users when selecting the IoT platform within the Smart City concept. Thus, this paper first identified IoT platform selection criteria based on the literature review. Next, IoT vendors and Smart City managers (end users) have evaluated the proposed criteria according to their importance. </w:t>
      </w:r>
    </w:p>
    <w:p w14:paraId="2F58CD1A"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Results have been discussed, and similarities, as well as differences, have been pointed out. When ranking the criteria from largest to lowest one, it can be seen that there is a </w:t>
      </w:r>
      <w:r w:rsidRPr="002A63BA">
        <w:rPr>
          <w:rFonts w:ascii="Open Sans" w:hAnsi="Open Sans" w:cs="Open Sans"/>
          <w:i/>
          <w:szCs w:val="22"/>
          <w:lang w:val="en-GB"/>
        </w:rPr>
        <w:t>considerable difference</w:t>
      </w:r>
      <w:r w:rsidRPr="002A63BA">
        <w:rPr>
          <w:rFonts w:ascii="Open Sans" w:hAnsi="Open Sans" w:cs="Open Sans"/>
          <w:szCs w:val="22"/>
          <w:lang w:val="en-GB"/>
        </w:rPr>
        <w:t xml:space="preserve"> between Croatian and Slovenian vendors. However, the difference exists between end-users, but on a smaller scale. The level of agreement between vendors and end-users is graphically presented in Figure 6.</w:t>
      </w:r>
    </w:p>
    <w:p w14:paraId="7CC13AFA" w14:textId="77777777" w:rsidR="00AE101A" w:rsidRPr="002A63BA" w:rsidRDefault="00AE101A" w:rsidP="00FF3EE4">
      <w:pPr>
        <w:pStyle w:val="SORtekst"/>
        <w:keepNext/>
        <w:spacing w:line="276" w:lineRule="auto"/>
        <w:rPr>
          <w:rFonts w:ascii="Open Sans" w:hAnsi="Open Sans" w:cs="Open Sans"/>
          <w:noProof/>
          <w:szCs w:val="22"/>
          <w:lang w:val="en-GB" w:eastAsia="en-GB"/>
        </w:rPr>
      </w:pPr>
    </w:p>
    <w:p w14:paraId="1C00958A" w14:textId="77777777" w:rsidR="00AE101A" w:rsidRPr="002A63BA" w:rsidRDefault="00AE101A" w:rsidP="00FF3EE4">
      <w:pPr>
        <w:pStyle w:val="SORtekst"/>
        <w:keepNext/>
        <w:spacing w:line="276" w:lineRule="auto"/>
        <w:jc w:val="center"/>
        <w:rPr>
          <w:rFonts w:ascii="Open Sans" w:hAnsi="Open Sans" w:cs="Open Sans"/>
          <w:szCs w:val="22"/>
        </w:rPr>
      </w:pPr>
      <w:r w:rsidRPr="002A63BA">
        <w:rPr>
          <w:rFonts w:ascii="Open Sans" w:hAnsi="Open Sans" w:cs="Open Sans"/>
          <w:noProof/>
          <w:szCs w:val="22"/>
          <w:lang w:val="hr-HR" w:eastAsia="hr-HR"/>
        </w:rPr>
        <w:drawing>
          <wp:inline distT="0" distB="0" distL="0" distR="0" wp14:anchorId="04F16C3E" wp14:editId="3CD23834">
            <wp:extent cx="2984500" cy="2589493"/>
            <wp:effectExtent l="0" t="0" r="6350" b="1905"/>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endors and end-users.png"/>
                    <pic:cNvPicPr/>
                  </pic:nvPicPr>
                  <pic:blipFill rotWithShape="1">
                    <a:blip r:embed="rId72" cstate="screen">
                      <a:extLst>
                        <a:ext uri="{28A0092B-C50C-407E-A947-70E740481C1C}">
                          <a14:useLocalDpi xmlns:a14="http://schemas.microsoft.com/office/drawing/2010/main"/>
                        </a:ext>
                      </a:extLst>
                    </a:blip>
                    <a:srcRect/>
                    <a:stretch/>
                  </pic:blipFill>
                  <pic:spPr bwMode="auto">
                    <a:xfrm>
                      <a:off x="0" y="0"/>
                      <a:ext cx="3008213" cy="2610068"/>
                    </a:xfrm>
                    <a:prstGeom prst="rect">
                      <a:avLst/>
                    </a:prstGeom>
                    <a:ln>
                      <a:noFill/>
                    </a:ln>
                    <a:extLst>
                      <a:ext uri="{53640926-AAD7-44D8-BBD7-CCE9431645EC}">
                        <a14:shadowObscured xmlns:a14="http://schemas.microsoft.com/office/drawing/2010/main"/>
                      </a:ext>
                    </a:extLst>
                  </pic:spPr>
                </pic:pic>
              </a:graphicData>
            </a:graphic>
          </wp:inline>
        </w:drawing>
      </w:r>
    </w:p>
    <w:p w14:paraId="5D758767" w14:textId="77777777" w:rsidR="00AE101A" w:rsidRPr="002A63BA" w:rsidRDefault="00AE101A" w:rsidP="00FF3EE4">
      <w:pPr>
        <w:pStyle w:val="Opisslike"/>
        <w:spacing w:line="276" w:lineRule="auto"/>
        <w:jc w:val="left"/>
        <w:rPr>
          <w:rFonts w:ascii="Open Sans" w:hAnsi="Open Sans" w:cs="Open Sans"/>
          <w:sz w:val="22"/>
          <w:szCs w:val="22"/>
        </w:rPr>
      </w:pPr>
      <w:r w:rsidRPr="005B1A5A">
        <w:rPr>
          <w:rFonts w:ascii="Open Sans" w:hAnsi="Open Sans" w:cs="Open Sans"/>
          <w:i w:val="0"/>
          <w:iCs w:val="0"/>
          <w:sz w:val="22"/>
          <w:szCs w:val="22"/>
        </w:rPr>
        <w:t>Figure 5.</w:t>
      </w:r>
      <w:r w:rsidRPr="002A63BA">
        <w:rPr>
          <w:rFonts w:ascii="Open Sans" w:hAnsi="Open Sans" w:cs="Open Sans"/>
          <w:sz w:val="22"/>
          <w:szCs w:val="22"/>
        </w:rPr>
        <w:t xml:space="preserve"> </w:t>
      </w:r>
      <w:r w:rsidRPr="002A63BA">
        <w:rPr>
          <w:rFonts w:ascii="Open Sans" w:hAnsi="Open Sans" w:cs="Open Sans"/>
          <w:iCs w:val="0"/>
          <w:sz w:val="22"/>
          <w:szCs w:val="22"/>
        </w:rPr>
        <w:t>Agreement on IoT criteria between Croatian and Slovenian experts</w:t>
      </w:r>
    </w:p>
    <w:p w14:paraId="00D86412"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grater focus should be put on end-users needs as the user-oriented era becomes more relevant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{"citationItems":[{"id":"ITEM-1","itemData":{"DOI":"10.1561/2900000005","ISBN":"9781680831429","ISSN":"2331-1231","abstract":"As the role of information technology continues to broaden in scope and complexity, it is imperative that researchers as well as practitioners have some way to determine when a system is successful and why certain strategies lead to a successful system. Information Systems Success Measurement has four goals: provide conceptual and philosophical foundations for measuring systems success; provide new approaches for understanding and identifying systems success; compare system success instruments; and, show how to validate systems success measures.Among some of the topics included in this book are: theory development and testing; instruments of evaluating system success; validation of system success measures; trends in information systems success evaluation.","author":[{"dropping-particle":"","family":"DeLone","given":"William H.","non-dropping-particle":"","parse-names":false,"suffix":""},{"dropping-particle":"","family":"McLean","given":"Ephraim R.","non-dropping-particle":"","parse-names":false,"suffix":""}],"container-title":"Foundations and Trends® in Information Systems","id":"ITEM-1","issue":"1","issued":{"date-parts":[["2016"]]},"number-of-pages":"1-116","title":"Information Systems Success Measurement","type":"book","volume":"2"},"uris":["http://www.mendeley.com/documents/?uuid=83226eb4-d20f-4162-96dd-9252b9c2aee9"]}],"mendeley":{"formattedCitation":"(DeLone and McLean, 2016)","plainTextFormattedCitation":"(DeLone and McLean, 2016)"},"properties":{"noteIndex":0},"schema":"https://github.com/citation-style-language/schema/raw/master/csl-citation.json"}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(DeLone and McLean, 2016)</w:t>
      </w:r>
      <w:r w:rsidRPr="002A63BA">
        <w:rPr>
          <w:rFonts w:ascii="Open Sans" w:hAnsi="Open Sans" w:cs="Open Sans"/>
          <w:szCs w:val="22"/>
          <w:lang w:val="en-GB"/>
        </w:rPr>
        <w:fldChar w:fldCharType="end"/>
      </w:r>
      <w:r w:rsidRPr="002A63BA">
        <w:rPr>
          <w:rFonts w:ascii="Open Sans" w:hAnsi="Open Sans" w:cs="Open Sans"/>
          <w:szCs w:val="22"/>
          <w:lang w:val="en-GB"/>
        </w:rPr>
        <w:t xml:space="preserve">. The identified </w:t>
      </w:r>
      <w:r w:rsidRPr="002A63BA">
        <w:rPr>
          <w:rFonts w:ascii="Open Sans" w:hAnsi="Open Sans" w:cs="Open Sans"/>
          <w:i/>
          <w:szCs w:val="22"/>
          <w:lang w:val="en-GB"/>
        </w:rPr>
        <w:t>similarities between end-users in Croatia and Slovenia could serve as implications for vendors while developing IoT platforms</w:t>
      </w:r>
      <w:r w:rsidRPr="002A63BA">
        <w:rPr>
          <w:rFonts w:ascii="Open Sans" w:hAnsi="Open Sans" w:cs="Open Sans"/>
          <w:szCs w:val="22"/>
          <w:lang w:val="en-GB"/>
        </w:rPr>
        <w:t xml:space="preserve">. The definite focus should be on platform </w:t>
      </w:r>
      <w:r w:rsidRPr="002A63BA">
        <w:rPr>
          <w:rFonts w:ascii="Open Sans" w:hAnsi="Open Sans" w:cs="Open Sans"/>
          <w:i/>
          <w:szCs w:val="22"/>
          <w:lang w:val="en-GB"/>
        </w:rPr>
        <w:t>functionality</w:t>
      </w:r>
      <w:r w:rsidRPr="002A63BA">
        <w:rPr>
          <w:rFonts w:ascii="Open Sans" w:hAnsi="Open Sans" w:cs="Open Sans"/>
          <w:szCs w:val="22"/>
          <w:lang w:val="en-GB"/>
        </w:rPr>
        <w:t xml:space="preserve">, i.e., how IoT platform uses different features to provide the desired outcome. Besides </w:t>
      </w:r>
      <w:r w:rsidRPr="002A63BA">
        <w:rPr>
          <w:rFonts w:ascii="Open Sans" w:hAnsi="Open Sans" w:cs="Open Sans"/>
          <w:i/>
          <w:szCs w:val="22"/>
          <w:lang w:val="en-GB"/>
        </w:rPr>
        <w:t>functionalities</w:t>
      </w:r>
      <w:r w:rsidRPr="002A63BA">
        <w:rPr>
          <w:rFonts w:ascii="Open Sans" w:hAnsi="Open Sans" w:cs="Open Sans"/>
          <w:szCs w:val="22"/>
          <w:lang w:val="en-GB"/>
        </w:rPr>
        <w:t xml:space="preserve">, vendors need to focus on </w:t>
      </w:r>
      <w:r w:rsidRPr="002A63BA">
        <w:rPr>
          <w:rFonts w:ascii="Open Sans" w:hAnsi="Open Sans" w:cs="Open Sans"/>
          <w:i/>
          <w:szCs w:val="22"/>
          <w:lang w:val="en-GB"/>
        </w:rPr>
        <w:t>scalability</w:t>
      </w:r>
      <w:r w:rsidRPr="002A63BA">
        <w:rPr>
          <w:rFonts w:ascii="Open Sans" w:hAnsi="Open Sans" w:cs="Open Sans"/>
          <w:szCs w:val="22"/>
          <w:lang w:val="en-GB"/>
        </w:rPr>
        <w:t xml:space="preserve">, </w:t>
      </w:r>
      <w:r w:rsidRPr="002A63BA">
        <w:rPr>
          <w:rFonts w:ascii="Open Sans" w:hAnsi="Open Sans" w:cs="Open Sans"/>
          <w:i/>
          <w:szCs w:val="22"/>
          <w:lang w:val="en-GB"/>
        </w:rPr>
        <w:t>security</w:t>
      </w:r>
      <w:r w:rsidRPr="002A63BA">
        <w:rPr>
          <w:rFonts w:ascii="Open Sans" w:hAnsi="Open Sans" w:cs="Open Sans"/>
          <w:szCs w:val="22"/>
          <w:lang w:val="en-GB"/>
        </w:rPr>
        <w:t xml:space="preserve">, and </w:t>
      </w:r>
      <w:r w:rsidRPr="002A63BA">
        <w:rPr>
          <w:rFonts w:ascii="Open Sans" w:hAnsi="Open Sans" w:cs="Open Sans"/>
          <w:i/>
          <w:szCs w:val="22"/>
          <w:lang w:val="en-GB"/>
        </w:rPr>
        <w:t>usability</w:t>
      </w:r>
      <w:r w:rsidRPr="002A63BA">
        <w:rPr>
          <w:rFonts w:ascii="Open Sans" w:hAnsi="Open Sans" w:cs="Open Sans"/>
          <w:szCs w:val="22"/>
          <w:lang w:val="en-GB"/>
        </w:rPr>
        <w:t xml:space="preserve">. These results are particularly important and should be used as a reference since, for example, </w:t>
      </w:r>
      <w:r w:rsidRPr="002A63BA">
        <w:rPr>
          <w:rFonts w:ascii="Open Sans" w:hAnsi="Open Sans" w:cs="Open Sans"/>
          <w:i/>
          <w:szCs w:val="22"/>
          <w:lang w:val="en-GB"/>
        </w:rPr>
        <w:t>scalability</w:t>
      </w:r>
      <w:r w:rsidRPr="002A63BA">
        <w:rPr>
          <w:rFonts w:ascii="Open Sans" w:hAnsi="Open Sans" w:cs="Open Sans"/>
          <w:szCs w:val="22"/>
          <w:lang w:val="en-GB"/>
        </w:rPr>
        <w:t xml:space="preserve"> is ranked as only 11</w:t>
      </w:r>
      <w:r w:rsidRPr="002A63BA">
        <w:rPr>
          <w:rFonts w:ascii="Open Sans" w:hAnsi="Open Sans" w:cs="Open Sans"/>
          <w:szCs w:val="22"/>
          <w:vertAlign w:val="superscript"/>
          <w:lang w:val="en-GB"/>
        </w:rPr>
        <w:t>th</w:t>
      </w:r>
      <w:r w:rsidRPr="002A63BA">
        <w:rPr>
          <w:rFonts w:ascii="Open Sans" w:hAnsi="Open Sans" w:cs="Open Sans"/>
          <w:szCs w:val="22"/>
          <w:lang w:val="en-GB"/>
        </w:rPr>
        <w:t xml:space="preserve"> (out of 15 criteria) among Slovenian vendors. At the same time, other experts agree on its importance. </w:t>
      </w:r>
    </w:p>
    <w:p w14:paraId="0883BE5D"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To conclude, both can use the results of this study, IoT vendors to better tail the needs of the end-users when designing future IoT platforms, and Smart City administrators, managers, and policy planners when selecting the IoT platforms for the Smart Cities. </w:t>
      </w:r>
    </w:p>
    <w:p w14:paraId="412AB5A0" w14:textId="77777777" w:rsidR="00AE101A" w:rsidRPr="002A63BA" w:rsidRDefault="00AE101A" w:rsidP="00FF3EE4">
      <w:pPr>
        <w:pStyle w:val="SORtekst"/>
        <w:spacing w:line="276" w:lineRule="auto"/>
        <w:rPr>
          <w:rFonts w:ascii="Open Sans" w:hAnsi="Open Sans" w:cs="Open Sans"/>
          <w:szCs w:val="22"/>
          <w:lang w:val="en-GB"/>
        </w:rPr>
      </w:pPr>
      <w:r w:rsidRPr="002A63BA">
        <w:rPr>
          <w:rFonts w:ascii="Open Sans" w:hAnsi="Open Sans" w:cs="Open Sans"/>
          <w:szCs w:val="22"/>
          <w:lang w:val="en-GB"/>
        </w:rPr>
        <w:t xml:space="preserve">The presented study suffers from a few </w:t>
      </w:r>
      <w:r w:rsidRPr="002A63BA">
        <w:rPr>
          <w:rFonts w:ascii="Open Sans" w:hAnsi="Open Sans" w:cs="Open Sans"/>
          <w:b/>
          <w:szCs w:val="22"/>
          <w:lang w:val="en-GB"/>
        </w:rPr>
        <w:t>limitations</w:t>
      </w:r>
      <w:r w:rsidRPr="002A63BA">
        <w:rPr>
          <w:rFonts w:ascii="Open Sans" w:hAnsi="Open Sans" w:cs="Open Sans"/>
          <w:szCs w:val="22"/>
          <w:lang w:val="en-GB"/>
        </w:rPr>
        <w:t xml:space="preserve">, which can also serve as starting points for future research. </w:t>
      </w:r>
      <w:r w:rsidRPr="002A63BA">
        <w:rPr>
          <w:rFonts w:ascii="Open Sans" w:hAnsi="Open Sans" w:cs="Open Sans"/>
          <w:szCs w:val="22"/>
        </w:rPr>
        <w:t xml:space="preserve">As demonstrated in the results, the evaluated weights that differ the most are the ones from </w:t>
      </w:r>
      <w:r w:rsidRPr="002A63BA">
        <w:rPr>
          <w:rFonts w:ascii="Open Sans" w:hAnsi="Open Sans" w:cs="Open Sans"/>
          <w:i/>
          <w:szCs w:val="22"/>
        </w:rPr>
        <w:t>Slovenia vendors</w:t>
      </w:r>
      <w:r w:rsidRPr="002A63BA">
        <w:rPr>
          <w:rFonts w:ascii="Open Sans" w:hAnsi="Open Sans" w:cs="Open Sans"/>
          <w:szCs w:val="22"/>
        </w:rPr>
        <w:t xml:space="preserve">. </w:t>
      </w:r>
      <w:r w:rsidRPr="002A63BA">
        <w:rPr>
          <w:rFonts w:ascii="Open Sans" w:hAnsi="Open Sans" w:cs="Open Sans"/>
          <w:szCs w:val="22"/>
        </w:rPr>
        <w:lastRenderedPageBreak/>
        <w:t xml:space="preserve">It could be interesting to examine some demographic characteristics of experts to explore whether this impacted grades received. Therefore it is crucial to </w:t>
      </w:r>
      <w:r w:rsidRPr="002A63BA">
        <w:rPr>
          <w:rFonts w:ascii="Open Sans" w:hAnsi="Open Sans" w:cs="Open Sans"/>
          <w:szCs w:val="22"/>
          <w:lang w:val="en-GB"/>
        </w:rPr>
        <w:t>study experts' characteristics factors. T</w:t>
      </w:r>
      <w:r w:rsidRPr="002A63BA">
        <w:rPr>
          <w:rFonts w:ascii="Open Sans" w:hAnsi="Open Sans" w:cs="Open Sans"/>
          <w:szCs w:val="22"/>
        </w:rPr>
        <w:t xml:space="preserve">he authors used a more generic approach since they could not define selection criteria for specific cities or specific IoT platforms. </w:t>
      </w:r>
      <w:r w:rsidRPr="002A63BA">
        <w:rPr>
          <w:rFonts w:ascii="Open Sans" w:hAnsi="Open Sans" w:cs="Open Sans"/>
          <w:szCs w:val="22"/>
          <w:lang w:val="en-GB"/>
        </w:rPr>
        <w:t xml:space="preserve">In the future, MCDM methods (such as the Analytical Hierarchal Process, the Analytical Network Process, Data Envelopment Analysis (DEA) or PROMETHEE </w:t>
      </w:r>
      <w:r w:rsidRPr="002A63BA">
        <w:rPr>
          <w:rFonts w:ascii="Open Sans" w:hAnsi="Open Sans" w:cs="Open Sans"/>
          <w:szCs w:val="22"/>
          <w:lang w:val="en-GB"/>
        </w:rPr>
        <w:fldChar w:fldCharType="begin" w:fldLock="1"/>
      </w:r>
      <w:r w:rsidRPr="002A63BA">
        <w:rPr>
          <w:rFonts w:ascii="Open Sans" w:hAnsi="Open Sans" w:cs="Open Sans"/>
          <w:szCs w:val="22"/>
          <w:lang w:val="en-GB"/>
        </w:rPr>
        <w:instrText>ADDIN CSL_CITATION {"citationItems":[{"id":"ITEM-1","itemData":{"DOI":"10.6531/JFS.202103\\_25(3).0006","author":[{"dropping-particle":"","family":"Barzman","given":"Marco","non-dropping-particle":"","parse-names":false,"suffix":""},{"dropping-particle":"","family":"Gerphagnon","given":"Mélanie","non-dropping-particle":"","parse-names":false,"suffix":""},{"dropping-particle":"","family":"Aubin-Houzelstein","given":"Geneviève","non-dropping-particle":"","parse-names":false,"suffix":""},{"dropping-particle":"","family":"Baron","given":"Georges-Louis","non-dropping-particle":"","parse-names":false,"suffix":""},{"dropping-particle":"","family":"Benard","given":"Alain","non-dropping-particle":"","parse-names":false,"suffix":""},{"dropping-particle":"","family":"Bouchet","given":"François","non-dropping-particle":"","parse-names":false,"suffix":""},{"dropping-particle":"","family":"Dibie-Barthelemy","given":"Juliette","non-dropping-particle":"","parse-names":false,"suffix":""},{"dropping-particle":"","family":"Gibrat","given":"Jean-Francois","non-dropping-particle":"","parse-names":false,"suffix":""},{"dropping-particle":"","family":"Hodson","given":"Simon","non-dropping-particle":"","parse-names":false,"suffix":""},{"dropping-particle":"","family":"LHOSTE","given":"Evelyne","non-dropping-particle":"","parse-names":false,"suffix":""},{"dropping-particle":"","family":"Martin","given":"Caroline","non-dropping-particle":"","parse-names":false,"suffix":""},{"dropping-particle":"","family":"Moulier-Boutang","given":"Yann","non-dropping-particle":"","parse-names":false,"suffix":""},{"dropping-particle":"","family":"Perrot","given":"Sébastien","non-dropping-particle":"","parse-names":false,"suffix":""},{"dropping-particle":"","family":"Phung","given":"Fabrice","non-dropping-particle":"","parse-names":false,"suffix":""},{"dropping-particle":"","family":"Pichot","given":"Christian","non-dropping-particle":"","parse-names":false,"suffix":""},{"dropping-particle":"","family":"Siné","given":"Mehdi","non-dropping-particle":"","parse-names":false,"suffix":""},{"dropping-particle":"","family":"Venin","given":"Thierry","non-dropping-particle":"","parse-names":false,"suffix":""},{"dropping-particle":"","family":"Mora","given":"Olivier","non-dropping-particle":"","parse-names":false,"suffix":""}],"container-title":"Journal of Futures Studies","id":"ITEM-1","issue":"3","issued":{"date-parts":[["2021","3"]]},"page":"65-78","publisher":"Tamkang University","title":"Exploring Digital Transformation in Higher Education and Research via Scenarios","type":"article-journal","volume":"25"},"uris":["http://www.mendeley.com/documents/?uuid=012366ee-53eb-451a-96da-d6b9648cd4f2"]}],"mendeley":{"formattedCitation":"(Barzman &lt;i&gt;et al.&lt;/i&gt;, 2021)","plainTextFormattedCitation":"(Barzman et al., 2021)","previouslyFormattedCitation":"(Barzman &lt;i&gt;et al.&lt;/i&gt;, 2021)"},"properties":{"noteIndex":0},"schema":"https://github.com/citation-style-language/schema/raw/master/csl-citation.json"}</w:instrText>
      </w:r>
      <w:r w:rsidRPr="002A63BA">
        <w:rPr>
          <w:rFonts w:ascii="Open Sans" w:hAnsi="Open Sans" w:cs="Open Sans"/>
          <w:szCs w:val="22"/>
          <w:lang w:val="en-GB"/>
        </w:rPr>
        <w:fldChar w:fldCharType="separate"/>
      </w:r>
      <w:r w:rsidRPr="002A63BA">
        <w:rPr>
          <w:rFonts w:ascii="Open Sans" w:hAnsi="Open Sans" w:cs="Open Sans"/>
          <w:noProof/>
          <w:szCs w:val="22"/>
          <w:lang w:val="en-GB"/>
        </w:rPr>
        <w:t xml:space="preserve">(Barzman </w:t>
      </w:r>
      <w:r w:rsidRPr="002A63BA">
        <w:rPr>
          <w:rFonts w:ascii="Open Sans" w:hAnsi="Open Sans" w:cs="Open Sans"/>
          <w:i/>
          <w:noProof/>
          <w:szCs w:val="22"/>
          <w:lang w:val="en-GB"/>
        </w:rPr>
        <w:t>et al.</w:t>
      </w:r>
      <w:r w:rsidRPr="002A63BA">
        <w:rPr>
          <w:rFonts w:ascii="Open Sans" w:hAnsi="Open Sans" w:cs="Open Sans"/>
          <w:noProof/>
          <w:szCs w:val="22"/>
          <w:lang w:val="en-GB"/>
        </w:rPr>
        <w:t>, 2021)</w:t>
      </w:r>
      <w:r w:rsidRPr="002A63BA">
        <w:rPr>
          <w:rFonts w:ascii="Open Sans" w:hAnsi="Open Sans" w:cs="Open Sans"/>
          <w:szCs w:val="22"/>
          <w:lang w:val="en-GB"/>
        </w:rPr>
        <w:fldChar w:fldCharType="end"/>
      </w:r>
      <w:r w:rsidRPr="002A63BA">
        <w:rPr>
          <w:rFonts w:ascii="Open Sans" w:hAnsi="Open Sans" w:cs="Open Sans"/>
          <w:szCs w:val="22"/>
          <w:lang w:val="en-GB"/>
        </w:rPr>
        <w:t xml:space="preserve">) could be used to verify the results and to select the IoT platform on an actual case study </w:t>
      </w:r>
    </w:p>
    <w:p w14:paraId="1E86972D" w14:textId="77777777" w:rsidR="00AE101A" w:rsidRPr="002A63BA" w:rsidRDefault="00AE101A" w:rsidP="00FF3EE4">
      <w:pPr>
        <w:pStyle w:val="NaslovSOR0502"/>
        <w:numPr>
          <w:ilvl w:val="0"/>
          <w:numId w:val="0"/>
        </w:numPr>
        <w:spacing w:line="276" w:lineRule="auto"/>
        <w:jc w:val="both"/>
        <w:rPr>
          <w:rFonts w:ascii="Open Sans" w:hAnsi="Open Sans" w:cs="Open Sans"/>
          <w:b w:val="0"/>
          <w:sz w:val="22"/>
          <w:szCs w:val="22"/>
          <w:lang w:val="en-GB"/>
        </w:rPr>
      </w:pPr>
      <w:r w:rsidRPr="002A63BA">
        <w:rPr>
          <w:rFonts w:ascii="Open Sans" w:hAnsi="Open Sans" w:cs="Open Sans"/>
          <w:b w:val="0"/>
          <w:sz w:val="22"/>
          <w:szCs w:val="22"/>
          <w:lang w:val="en-GB"/>
        </w:rPr>
        <w:t xml:space="preserve">Because this study is based on a survey, measuring mistakes such as the number of respondents and the type of questionnaire utilized can occur and therefore present another limitation. Limitations regarding the small number of experts should be addressed by conducting another study with a more significant number of end-users. In addition, even tho experts could add criteria, none of the additional criteria was yielded. Hence, more IoT selection criteria could be included in the analysis with a more detailed approach – sub-criteria perspective. For example, a recent study used </w:t>
      </w:r>
      <w:r w:rsidRPr="002A63BA">
        <w:rPr>
          <w:rFonts w:ascii="Open Sans" w:hAnsi="Open Sans" w:cs="Open Sans"/>
          <w:b w:val="0"/>
          <w:i/>
          <w:sz w:val="22"/>
          <w:szCs w:val="22"/>
          <w:lang w:val="en-GB"/>
        </w:rPr>
        <w:t>energy consumption</w:t>
      </w:r>
      <w:r w:rsidRPr="002A63BA">
        <w:rPr>
          <w:rFonts w:ascii="Open Sans" w:hAnsi="Open Sans" w:cs="Open Sans"/>
          <w:b w:val="0"/>
          <w:sz w:val="22"/>
          <w:szCs w:val="22"/>
          <w:lang w:val="en-GB"/>
        </w:rPr>
        <w:t xml:space="preserve"> as one of the criteria for smart object selection </w:t>
      </w:r>
      <w:r w:rsidRPr="002A63BA">
        <w:rPr>
          <w:rFonts w:ascii="Open Sans" w:hAnsi="Open Sans" w:cs="Open Sans"/>
          <w:b w:val="0"/>
          <w:sz w:val="22"/>
          <w:szCs w:val="22"/>
          <w:lang w:val="en-GB"/>
        </w:rPr>
        <w:fldChar w:fldCharType="begin" w:fldLock="1"/>
      </w:r>
      <w:r w:rsidRPr="002A63BA">
        <w:rPr>
          <w:rFonts w:ascii="Open Sans" w:hAnsi="Open Sans" w:cs="Open Sans"/>
          <w:b w:val="0"/>
          <w:sz w:val="22"/>
          <w:szCs w:val="22"/>
          <w:lang w:val="en-GB"/>
        </w:rPr>
        <w:instrText>ADDIN CSL_CITATION {"citationItems":[{"id":"ITEM-1","itemData":{"DOI":"10.1016/j.techsoc.2019.101216","ISSN":"0160791X","abstract":"Various internet of things applications are available that cover every aspect of daily life and users can subscribe to numerous IoT applications. Selecting the most suitable IoT applications for individual users is a critical challenge. This study aims to solve this challenge by proposing recommendation system using a hybrid multicriteria decision-making approach based on the analytical hierarchy process and simple additive weight methods. Based on the opinions and preferences of experts, the model and the hierarchy were designed to assess and compare three crucial criteria, namely smart objects, applications, and providers. The results show that applications criterion is more important for users than the other two criteria. In specific, privacy, reliability, and availability are crucial criteria for IoT applications.","author":[{"dropping-particle":"","family":"Mashal","given":"Ibrahim","non-dropping-particle":"","parse-names":false,"suffix":""},{"dropping-particle":"","family":"Alsaryrah","given":"Osama","non-dropping-particle":"","parse-names":false,"suffix":""},{"dropping-particle":"","family":"Chung","given":"Tein Yaw","non-dropping-particle":"","parse-names":false,"suffix":""}],"container-title":"Technology in Society","id":"ITEM-1","issue":"October 2019","issued":{"date-parts":[["2020"]]},"page":"101216","publisher":"Elsevier Ltd","title":"A multi-criteria analysis for an internet of things application recommendation system","type":"article-journal","volume":"60"},"uris":["http://www.mendeley.com/documents/?uuid=494cebf4-8679-46c0-806c-09d3c14188a8"]}],"mendeley":{"formattedCitation":"(Mashal, Alsaryrah and Chung, 2020)","plainTextFormattedCitation":"(Mashal, Alsaryrah and Chung, 2020)","previouslyFormattedCitation":"(Mashal, Alsaryrah and Chung, 2020)"},"properties":{"noteIndex":0},"schema":"https://github.com/citation-style-language/schema/raw/master/csl-citation.json"}</w:instrText>
      </w:r>
      <w:r w:rsidRPr="002A63BA">
        <w:rPr>
          <w:rFonts w:ascii="Open Sans" w:hAnsi="Open Sans" w:cs="Open Sans"/>
          <w:b w:val="0"/>
          <w:sz w:val="22"/>
          <w:szCs w:val="22"/>
          <w:lang w:val="en-GB"/>
        </w:rPr>
        <w:fldChar w:fldCharType="separate"/>
      </w:r>
      <w:r w:rsidRPr="002A63BA">
        <w:rPr>
          <w:rFonts w:ascii="Open Sans" w:hAnsi="Open Sans" w:cs="Open Sans"/>
          <w:b w:val="0"/>
          <w:noProof/>
          <w:sz w:val="22"/>
          <w:szCs w:val="22"/>
          <w:lang w:val="en-GB"/>
        </w:rPr>
        <w:t>(Mashal, Alsaryrah and Chung, 2020)</w:t>
      </w:r>
      <w:r w:rsidRPr="002A63BA">
        <w:rPr>
          <w:rFonts w:ascii="Open Sans" w:hAnsi="Open Sans" w:cs="Open Sans"/>
          <w:b w:val="0"/>
          <w:sz w:val="22"/>
          <w:szCs w:val="22"/>
          <w:lang w:val="en-GB"/>
        </w:rPr>
        <w:fldChar w:fldCharType="end"/>
      </w:r>
      <w:r w:rsidRPr="002A63BA">
        <w:rPr>
          <w:rFonts w:ascii="Open Sans" w:hAnsi="Open Sans" w:cs="Open Sans"/>
          <w:b w:val="0"/>
          <w:sz w:val="22"/>
          <w:szCs w:val="22"/>
          <w:lang w:val="en-GB"/>
        </w:rPr>
        <w:t xml:space="preserve">; however, this study has not included it, so future research should examine and explore novel criteria to ensure </w:t>
      </w:r>
      <w:r w:rsidRPr="002A63BA">
        <w:rPr>
          <w:rFonts w:ascii="Open Sans" w:hAnsi="Open Sans" w:cs="Open Sans"/>
          <w:b w:val="0"/>
          <w:bCs/>
          <w:sz w:val="22"/>
          <w:szCs w:val="22"/>
          <w:lang w:val="en-GB"/>
        </w:rPr>
        <w:t>sustainable development of IoT platforms.</w:t>
      </w:r>
    </w:p>
    <w:p w14:paraId="2C6265A0" w14:textId="77777777" w:rsidR="00AE101A" w:rsidRPr="002A63BA" w:rsidRDefault="00AE101A" w:rsidP="00FF3EE4">
      <w:pPr>
        <w:pStyle w:val="Naslov1"/>
        <w:spacing w:line="276" w:lineRule="auto"/>
        <w:rPr>
          <w:rFonts w:ascii="Open Sans" w:hAnsi="Open Sans" w:cs="Open Sans"/>
          <w:sz w:val="22"/>
          <w:szCs w:val="22"/>
        </w:rPr>
      </w:pPr>
      <w:r w:rsidRPr="002A63BA">
        <w:rPr>
          <w:rFonts w:ascii="Open Sans" w:hAnsi="Open Sans" w:cs="Open Sans"/>
          <w:sz w:val="22"/>
          <w:szCs w:val="22"/>
        </w:rPr>
        <w:t>Acknowledgment</w:t>
      </w:r>
    </w:p>
    <w:p w14:paraId="55E18184" w14:textId="77777777" w:rsidR="00AE101A" w:rsidRPr="002A63BA" w:rsidRDefault="00AE101A" w:rsidP="00FF3EE4">
      <w:pPr>
        <w:pStyle w:val="NaslovSOR0502"/>
        <w:numPr>
          <w:ilvl w:val="0"/>
          <w:numId w:val="0"/>
        </w:numPr>
        <w:spacing w:line="276" w:lineRule="auto"/>
        <w:jc w:val="both"/>
        <w:rPr>
          <w:rFonts w:ascii="Open Sans" w:hAnsi="Open Sans" w:cs="Open Sans"/>
          <w:b w:val="0"/>
          <w:sz w:val="22"/>
          <w:szCs w:val="22"/>
          <w:lang w:val="en-GB"/>
        </w:rPr>
      </w:pPr>
      <w:r w:rsidRPr="002A63BA">
        <w:rPr>
          <w:rFonts w:ascii="Open Sans" w:hAnsi="Open Sans" w:cs="Open Sans"/>
          <w:b w:val="0"/>
          <w:sz w:val="22"/>
          <w:szCs w:val="22"/>
          <w:lang w:val="en-GB"/>
        </w:rPr>
        <w:t>This work has been supported by the Croatian Science Foundation (grant number UIP-2017-05-7625) and the bilateral scientific project Comparative Analysis of Trends and Success Factors for Smart Cities Development in Slovenia and Croatia.</w:t>
      </w:r>
    </w:p>
    <w:p w14:paraId="47328F5A" w14:textId="77777777" w:rsidR="00AE101A" w:rsidRPr="002A63BA" w:rsidRDefault="00AE101A" w:rsidP="005B1A5A">
      <w:pPr>
        <w:pStyle w:val="N1"/>
      </w:pPr>
      <w:r w:rsidRPr="002A63BA">
        <w:t>References</w:t>
      </w:r>
    </w:p>
    <w:p w14:paraId="79B246D5"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rPr>
        <w:fldChar w:fldCharType="begin" w:fldLock="1"/>
      </w:r>
      <w:r w:rsidRPr="002A63BA">
        <w:rPr>
          <w:rFonts w:ascii="Open Sans" w:hAnsi="Open Sans" w:cs="Open Sans"/>
        </w:rPr>
        <w:instrText xml:space="preserve">ADDIN Mendeley Bibliography CSL_BIBLIOGRAPHY </w:instrText>
      </w:r>
      <w:r w:rsidRPr="002A63BA">
        <w:rPr>
          <w:rFonts w:ascii="Open Sans" w:hAnsi="Open Sans" w:cs="Open Sans"/>
        </w:rPr>
        <w:fldChar w:fldCharType="separate"/>
      </w:r>
      <w:r w:rsidRPr="002A63BA">
        <w:rPr>
          <w:rFonts w:ascii="Open Sans" w:hAnsi="Open Sans" w:cs="Open Sans"/>
          <w:noProof/>
        </w:rPr>
        <w:t>Abdelghaffar, H., Abousteit, M. (2021). Internet of Things (IoT) interoperability success criteria.</w:t>
      </w:r>
      <w:r w:rsidRPr="002A63BA">
        <w:rPr>
          <w:rFonts w:ascii="Open Sans" w:hAnsi="Open Sans" w:cs="Open Sans"/>
          <w:i/>
          <w:iCs/>
          <w:noProof/>
        </w:rPr>
        <w:t xml:space="preserve"> International Journal of Enterprise Information Systems</w:t>
      </w:r>
      <w:r w:rsidRPr="002A63BA">
        <w:rPr>
          <w:rFonts w:ascii="Open Sans" w:hAnsi="Open Sans" w:cs="Open Sans"/>
          <w:noProof/>
        </w:rPr>
        <w:t>, 17(1), pp. 85–105. doi: 10.4018/IJEIS.2021010105.</w:t>
      </w:r>
    </w:p>
    <w:p w14:paraId="47546319"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lastRenderedPageBreak/>
        <w:t xml:space="preserve">Abdelmegid, M. A., Gonzalez, V. A., Poshdar, M., O'Sullivan, M., Walker, C. G., Ying, F. (2020). Barriers to adopting simulation modelling in construction industry. </w:t>
      </w:r>
      <w:r w:rsidRPr="002A63BA">
        <w:rPr>
          <w:rFonts w:ascii="Open Sans" w:hAnsi="Open Sans" w:cs="Open Sans"/>
          <w:i/>
          <w:iCs/>
          <w:noProof/>
        </w:rPr>
        <w:t>Automation in Construction</w:t>
      </w:r>
      <w:r w:rsidRPr="002A63BA">
        <w:rPr>
          <w:rFonts w:ascii="Open Sans" w:hAnsi="Open Sans" w:cs="Open Sans"/>
          <w:noProof/>
        </w:rPr>
        <w:t>. Elsevier, 111(June 2019), p. 103046. doi: 10.1016/j.autcon.2019.103046.</w:t>
      </w:r>
    </w:p>
    <w:p w14:paraId="0B6A8A88"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Alelaiwi, A. (2019). Evaluating distributed IoT databases for edge/cloud platforms using the analytic hierarchy process. </w:t>
      </w:r>
      <w:r w:rsidRPr="002A63BA">
        <w:rPr>
          <w:rFonts w:ascii="Open Sans" w:hAnsi="Open Sans" w:cs="Open Sans"/>
          <w:i/>
          <w:iCs/>
          <w:noProof/>
        </w:rPr>
        <w:t>Journal of Parallel and Distributed Computing</w:t>
      </w:r>
      <w:r w:rsidRPr="002A63BA">
        <w:rPr>
          <w:rFonts w:ascii="Open Sans" w:hAnsi="Open Sans" w:cs="Open Sans"/>
          <w:noProof/>
        </w:rPr>
        <w:t>. Elsevier Inc., 124, pp. 41–46. doi: 10.1016/j.jpdc.2018.10.008.</w:t>
      </w:r>
    </w:p>
    <w:p w14:paraId="11512BB9"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Babić, Z. (2017). </w:t>
      </w:r>
      <w:r w:rsidRPr="002A63BA">
        <w:rPr>
          <w:rFonts w:ascii="Open Sans" w:hAnsi="Open Sans" w:cs="Open Sans"/>
          <w:i/>
          <w:iCs/>
          <w:noProof/>
        </w:rPr>
        <w:t>Modeli i metode poslovnog odlučivanja</w:t>
      </w:r>
      <w:r w:rsidRPr="002A63BA">
        <w:rPr>
          <w:rFonts w:ascii="Open Sans" w:hAnsi="Open Sans" w:cs="Open Sans"/>
          <w:noProof/>
        </w:rPr>
        <w:t>. Split: Sveučilište u Splitu, Ekonomski fakultet.</w:t>
      </w:r>
    </w:p>
    <w:p w14:paraId="7207010A"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Barzman, M. et al. (2021). Exploring Digital Transformation in Higher Education and Research via Scenarios.</w:t>
      </w:r>
      <w:r w:rsidRPr="002A63BA">
        <w:rPr>
          <w:rFonts w:ascii="Open Sans" w:hAnsi="Open Sans" w:cs="Open Sans"/>
          <w:i/>
          <w:iCs/>
          <w:noProof/>
        </w:rPr>
        <w:t xml:space="preserve"> Journal of Futures Studies</w:t>
      </w:r>
      <w:r w:rsidRPr="002A63BA">
        <w:rPr>
          <w:rFonts w:ascii="Open Sans" w:hAnsi="Open Sans" w:cs="Open Sans"/>
          <w:noProof/>
        </w:rPr>
        <w:t>. Tamkang University, 25(3), pp. 65–78. doi: 10.6531/JFS.202103\_25(3).0006.</w:t>
      </w:r>
    </w:p>
    <w:p w14:paraId="11BFDC9D"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Baumgärtner, S. and Winkler, R. (2003). Markets, technology and environmental regulation: Price ambivalence of waste paper in Germany. </w:t>
      </w:r>
      <w:r w:rsidRPr="002A63BA">
        <w:rPr>
          <w:rFonts w:ascii="Open Sans" w:hAnsi="Open Sans" w:cs="Open Sans"/>
          <w:i/>
          <w:iCs/>
          <w:noProof/>
        </w:rPr>
        <w:t>Ecological Economics</w:t>
      </w:r>
      <w:r w:rsidRPr="002A63BA">
        <w:rPr>
          <w:rFonts w:ascii="Open Sans" w:hAnsi="Open Sans" w:cs="Open Sans"/>
          <w:noProof/>
        </w:rPr>
        <w:t>, 47, pp. 183–195. doi: 10.1016/S0921-8009(03)00194-0.</w:t>
      </w:r>
    </w:p>
    <w:p w14:paraId="087F2FCE"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Contreras-Masse, R., Ochoa-Zezzatti, A., Garcia, V., Elizondo, M. (2019). Selection of IoT Platform with Multi-Criteria Analysis: Defining Criteria and Experts to Interview. </w:t>
      </w:r>
      <w:r w:rsidRPr="002A63BA">
        <w:rPr>
          <w:rFonts w:ascii="Open Sans" w:hAnsi="Open Sans" w:cs="Open Sans"/>
          <w:i/>
          <w:iCs/>
          <w:noProof/>
        </w:rPr>
        <w:t>Research in Computing Science</w:t>
      </w:r>
      <w:r w:rsidRPr="002A63BA">
        <w:rPr>
          <w:rFonts w:ascii="Open Sans" w:hAnsi="Open Sans" w:cs="Open Sans"/>
          <w:noProof/>
        </w:rPr>
        <w:t>, 148(11), pp. 9–19. doi: 10.13053/rcs-148-11-1.</w:t>
      </w:r>
    </w:p>
    <w:p w14:paraId="1259B13A"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DeLone, W. H., McLean, E. R. (2016).</w:t>
      </w:r>
      <w:r w:rsidRPr="002A63BA">
        <w:rPr>
          <w:rFonts w:ascii="Open Sans" w:hAnsi="Open Sans" w:cs="Open Sans"/>
          <w:i/>
          <w:iCs/>
          <w:noProof/>
        </w:rPr>
        <w:t xml:space="preserve"> Information Systems Success Measurement, Foundations and Trends® in Information Systems</w:t>
      </w:r>
      <w:r w:rsidRPr="002A63BA">
        <w:rPr>
          <w:rFonts w:ascii="Open Sans" w:hAnsi="Open Sans" w:cs="Open Sans"/>
          <w:noProof/>
        </w:rPr>
        <w:t>. doi: 10.1561/2900000005.</w:t>
      </w:r>
    </w:p>
    <w:p w14:paraId="15F0CB2D"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EK (2020). What are smart cities?. European Commission. Available at: https://ec.europa.eu/info/eu-regional-and-urban-development/topics/cities-and-urban-development/city-initiatives/smart-cities_en.</w:t>
      </w:r>
    </w:p>
    <w:p w14:paraId="51AF2D4D"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Gartner (2020). Gartner Says Government IoT Revenue for Endpoint Electronics and Communications to Total $15 Billion in 2020. Available at: https://gtnr.it/2Tt0Ivj.</w:t>
      </w:r>
    </w:p>
    <w:p w14:paraId="4869C667"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Kim, Suwon and Kim, Seongcheol (2016). A multi-criteria approach toward discovering killer IoT application in Korea. </w:t>
      </w:r>
      <w:r w:rsidRPr="002A63BA">
        <w:rPr>
          <w:rFonts w:ascii="Open Sans" w:hAnsi="Open Sans" w:cs="Open Sans"/>
          <w:i/>
          <w:iCs/>
          <w:noProof/>
        </w:rPr>
        <w:t xml:space="preserve">Technological </w:t>
      </w:r>
      <w:r w:rsidRPr="002A63BA">
        <w:rPr>
          <w:rFonts w:ascii="Open Sans" w:hAnsi="Open Sans" w:cs="Open Sans"/>
          <w:i/>
          <w:iCs/>
          <w:noProof/>
        </w:rPr>
        <w:lastRenderedPageBreak/>
        <w:t>Forecasting and Social Change</w:t>
      </w:r>
      <w:r w:rsidRPr="002A63BA">
        <w:rPr>
          <w:rFonts w:ascii="Open Sans" w:hAnsi="Open Sans" w:cs="Open Sans"/>
          <w:noProof/>
        </w:rPr>
        <w:t>. Elsevier Inc., 102, pp. 143–155. doi: 10.1016/j.techfore.2015.05.007.</w:t>
      </w:r>
    </w:p>
    <w:p w14:paraId="1CED38AF"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Kim, T., Ramos, C., Mohammed, S. (2017). Smart City and IoT. </w:t>
      </w:r>
      <w:r w:rsidRPr="002A63BA">
        <w:rPr>
          <w:rFonts w:ascii="Open Sans" w:hAnsi="Open Sans" w:cs="Open Sans"/>
          <w:i/>
          <w:iCs/>
          <w:noProof/>
        </w:rPr>
        <w:t>Future Generation Computer Systems</w:t>
      </w:r>
      <w:r w:rsidRPr="002A63BA">
        <w:rPr>
          <w:rFonts w:ascii="Open Sans" w:hAnsi="Open Sans" w:cs="Open Sans"/>
          <w:noProof/>
        </w:rPr>
        <w:t>. Elsevier B.V., 76(July 2014), pp. 159–162. doi: 10.1016/j.future.2017.03.034.</w:t>
      </w:r>
    </w:p>
    <w:p w14:paraId="53A44E31"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Kondratenko, Y., Kondratenko, G., Sidenko, I. (2018). Multi-criteria decision making for selecting a rational IoT platform. </w:t>
      </w:r>
      <w:r w:rsidRPr="002A63BA">
        <w:rPr>
          <w:rFonts w:ascii="Open Sans" w:hAnsi="Open Sans" w:cs="Open Sans"/>
          <w:i/>
          <w:iCs/>
          <w:noProof/>
        </w:rPr>
        <w:t>Proceedings of 2018 IEEE 9th International Conference on Dependable Systems, Services and Technologies, DESSERT 2018</w:t>
      </w:r>
      <w:r w:rsidRPr="002A63BA">
        <w:rPr>
          <w:rFonts w:ascii="Open Sans" w:hAnsi="Open Sans" w:cs="Open Sans"/>
          <w:noProof/>
        </w:rPr>
        <w:t>. IEEE, pp. 147–152. doi: 10.1109/DESSERT.2018.8409117.</w:t>
      </w:r>
    </w:p>
    <w:p w14:paraId="6158859D"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Kondratenko, Y., Kondratenko, G., Sidenko, I. (2019). Multi-criteria decision making and soft computing for the selection of specialized IoT platform. </w:t>
      </w:r>
      <w:r w:rsidRPr="002A63BA">
        <w:rPr>
          <w:rFonts w:ascii="Open Sans" w:hAnsi="Open Sans" w:cs="Open Sans"/>
          <w:i/>
          <w:iCs/>
          <w:noProof/>
        </w:rPr>
        <w:t>Advances in Intelligent Systems and Computing</w:t>
      </w:r>
      <w:r w:rsidRPr="002A63BA">
        <w:rPr>
          <w:rFonts w:ascii="Open Sans" w:hAnsi="Open Sans" w:cs="Open Sans"/>
          <w:noProof/>
        </w:rPr>
        <w:t>. doi: 10.1007/978-3-319-97885-7_8.</w:t>
      </w:r>
    </w:p>
    <w:p w14:paraId="1C0AD3BF"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Lin, M., Huang, C., Xu, Z., Chen, R. (2020). Evaluating IoT Platforms Using Integrated Probabilistic Linguistic MCDM Method. </w:t>
      </w:r>
      <w:r w:rsidRPr="002A63BA">
        <w:rPr>
          <w:rFonts w:ascii="Open Sans" w:hAnsi="Open Sans" w:cs="Open Sans"/>
          <w:i/>
          <w:iCs/>
          <w:noProof/>
        </w:rPr>
        <w:t>IEEE Internet of Things Journal</w:t>
      </w:r>
      <w:r w:rsidRPr="002A63BA">
        <w:rPr>
          <w:rFonts w:ascii="Open Sans" w:hAnsi="Open Sans" w:cs="Open Sans"/>
          <w:noProof/>
        </w:rPr>
        <w:t>, 7(11), pp. 11195–11208. doi: 10.1109/JIOT.2020.2997133.</w:t>
      </w:r>
    </w:p>
    <w:p w14:paraId="6669F597"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Mashal, I., Alsaryrah, O., Chung, T. Y. (2020). A multi-criteria analysis for an internet of things application recommendation system. </w:t>
      </w:r>
      <w:r w:rsidRPr="002A63BA">
        <w:rPr>
          <w:rFonts w:ascii="Open Sans" w:hAnsi="Open Sans" w:cs="Open Sans"/>
          <w:i/>
          <w:iCs/>
          <w:noProof/>
        </w:rPr>
        <w:t>Technology in Society</w:t>
      </w:r>
      <w:r w:rsidRPr="002A63BA">
        <w:rPr>
          <w:rFonts w:ascii="Open Sans" w:hAnsi="Open Sans" w:cs="Open Sans"/>
          <w:noProof/>
        </w:rPr>
        <w:t>. Elsevier Ltd, 60(October 2019), p. 101216. doi: 10.1016/j.techsoc.2019.101216.</w:t>
      </w:r>
    </w:p>
    <w:p w14:paraId="09FF8C55"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Mijač, T., Ninčević Pašalić, I., Tomat, L. (2021). SELECTION OF IOT PLATFORMS IN SMART CITIES: MULTICRITERIA DECISION MAKING. </w:t>
      </w:r>
      <w:r w:rsidRPr="002A63BA">
        <w:rPr>
          <w:rFonts w:ascii="Open Sans" w:hAnsi="Open Sans" w:cs="Open Sans"/>
          <w:i/>
          <w:iCs/>
          <w:noProof/>
        </w:rPr>
        <w:t>Proceedings of the 16th International Symposium on Operational Research in Slovenia</w:t>
      </w:r>
      <w:r w:rsidRPr="002A63BA">
        <w:rPr>
          <w:rFonts w:ascii="Open Sans" w:hAnsi="Open Sans" w:cs="Open Sans"/>
          <w:noProof/>
        </w:rPr>
        <w:t>, pp. 35–40.</w:t>
      </w:r>
    </w:p>
    <w:p w14:paraId="2BB750A1"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Ninčević Pašalić, I., Jadrić, M., Ćukušić, M. (2020). E-Participation Tools Used by City Governments in Croatia. </w:t>
      </w:r>
      <w:r w:rsidRPr="002A63BA">
        <w:rPr>
          <w:rFonts w:ascii="Open Sans" w:hAnsi="Open Sans" w:cs="Open Sans"/>
          <w:i/>
          <w:iCs/>
          <w:noProof/>
        </w:rPr>
        <w:t>Proceedings of FEB Zagreb 11th International Odyssey Conference on Economics and Business</w:t>
      </w:r>
      <w:r w:rsidRPr="002A63BA">
        <w:rPr>
          <w:rFonts w:ascii="Open Sans" w:hAnsi="Open Sans" w:cs="Open Sans"/>
          <w:noProof/>
        </w:rPr>
        <w:t>.</w:t>
      </w:r>
    </w:p>
    <w:p w14:paraId="329CE95C"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Nižetić, S., Šolić, P., López-de-Ipiña González-de-Artaza, D., Patrona, L. (2020). Internet of Things (IoT): Opportunities, issues and challenges towards a smart and sustainable future. </w:t>
      </w:r>
      <w:r w:rsidRPr="002A63BA">
        <w:rPr>
          <w:rFonts w:ascii="Open Sans" w:hAnsi="Open Sans" w:cs="Open Sans"/>
          <w:i/>
          <w:iCs/>
          <w:noProof/>
        </w:rPr>
        <w:t>Journal of ckeaner production</w:t>
      </w:r>
      <w:r w:rsidRPr="002A63BA">
        <w:rPr>
          <w:rFonts w:ascii="Open Sans" w:hAnsi="Open Sans" w:cs="Open Sans"/>
          <w:noProof/>
        </w:rPr>
        <w:t>, 274(January).</w:t>
      </w:r>
    </w:p>
    <w:p w14:paraId="48B14317"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Nunes, L. H., Estrella, J. C., Perera, C., Reiff-Marganiec, S., Botazzo </w:t>
      </w:r>
      <w:r w:rsidRPr="002A63BA">
        <w:rPr>
          <w:rFonts w:ascii="Open Sans" w:hAnsi="Open Sans" w:cs="Open Sans"/>
          <w:noProof/>
        </w:rPr>
        <w:lastRenderedPageBreak/>
        <w:t xml:space="preserve">Delbem,, A. C.  (2017). Multi-criteria IoT resource discovery: a comparative analysis. </w:t>
      </w:r>
      <w:r w:rsidRPr="002A63BA">
        <w:rPr>
          <w:rFonts w:ascii="Open Sans" w:hAnsi="Open Sans" w:cs="Open Sans"/>
          <w:i/>
          <w:iCs/>
          <w:noProof/>
        </w:rPr>
        <w:t>Software - Practice and Experience</w:t>
      </w:r>
      <w:r w:rsidRPr="002A63BA">
        <w:rPr>
          <w:rFonts w:ascii="Open Sans" w:hAnsi="Open Sans" w:cs="Open Sans"/>
          <w:noProof/>
        </w:rPr>
        <w:t>, 47(10), pp. 1325–1341. doi: 10.1002/spe.2469.</w:t>
      </w:r>
    </w:p>
    <w:p w14:paraId="5367ACEF"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Pušnik, M., Pavlinek, M., Šumak, B., Kous, K. (2019). Analysis of Characteristics of Urban Communities in Slovenia for Smart City Development. </w:t>
      </w:r>
      <w:r w:rsidRPr="002A63BA">
        <w:rPr>
          <w:rFonts w:ascii="Open Sans" w:hAnsi="Open Sans" w:cs="Open Sans"/>
          <w:i/>
          <w:iCs/>
          <w:noProof/>
        </w:rPr>
        <w:t>Proceedings of the European Conference on Information and Intelligent Systems</w:t>
      </w:r>
      <w:r w:rsidRPr="002A63BA">
        <w:rPr>
          <w:rFonts w:ascii="Open Sans" w:hAnsi="Open Sans" w:cs="Open Sans"/>
          <w:noProof/>
        </w:rPr>
        <w:t>, pp. 143–147. Available at: http://archive.ceciis.foi.hr/app/public/conferences/2019/Proceedings/ICTEI/ICTEI1.pdf.</w:t>
      </w:r>
    </w:p>
    <w:p w14:paraId="4B623606"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Silva, E. M., Jardim-Goncalves, R. (2017). Multi-criteria analysis and decision methodology for the selection of Internet-of-Things hardware platforms. </w:t>
      </w:r>
      <w:r w:rsidRPr="002A63BA">
        <w:rPr>
          <w:rFonts w:ascii="Open Sans" w:hAnsi="Open Sans" w:cs="Open Sans"/>
          <w:i/>
          <w:iCs/>
          <w:noProof/>
        </w:rPr>
        <w:t>IFIP Advances in Information and Communication Technology</w:t>
      </w:r>
      <w:r w:rsidRPr="002A63BA">
        <w:rPr>
          <w:rFonts w:ascii="Open Sans" w:hAnsi="Open Sans" w:cs="Open Sans"/>
          <w:noProof/>
        </w:rPr>
        <w:t>, 499, pp. 111–121. doi: 10.1007/978-3-319-56077-9_10.</w:t>
      </w:r>
    </w:p>
    <w:p w14:paraId="11BF5EEC"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Silva, E. M., Jardim-Goncalves, R. (2021). ‘Cyber-Physical Systems: a multi-criteria assessment for Internet-of-Things (IoT) systems. </w:t>
      </w:r>
      <w:r w:rsidRPr="002A63BA">
        <w:rPr>
          <w:rFonts w:ascii="Open Sans" w:hAnsi="Open Sans" w:cs="Open Sans"/>
          <w:i/>
          <w:iCs/>
          <w:noProof/>
        </w:rPr>
        <w:t>Enterprise Information Systems</w:t>
      </w:r>
      <w:r w:rsidRPr="002A63BA">
        <w:rPr>
          <w:rFonts w:ascii="Open Sans" w:hAnsi="Open Sans" w:cs="Open Sans"/>
          <w:noProof/>
        </w:rPr>
        <w:t>. Taylor &amp; Francis, 15(3), pp. 332–351. doi: 10.1080/17517575.2019.1698060.</w:t>
      </w:r>
    </w:p>
    <w:p w14:paraId="75A935EF"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Singla, C., Mahajan, N., Kaushal, S., Verma, A., Kumar Sangaiah, A. (2018). Modelling and analysis of multi-objective service selection scheme in iot-cloud environment. </w:t>
      </w:r>
      <w:r w:rsidRPr="002A63BA">
        <w:rPr>
          <w:rFonts w:ascii="Open Sans" w:hAnsi="Open Sans" w:cs="Open Sans"/>
          <w:i/>
          <w:iCs/>
          <w:noProof/>
        </w:rPr>
        <w:t>Lecture Notes on Data Engineering and Communications Technologies</w:t>
      </w:r>
      <w:r w:rsidRPr="002A63BA">
        <w:rPr>
          <w:rFonts w:ascii="Open Sans" w:hAnsi="Open Sans" w:cs="Open Sans"/>
          <w:noProof/>
        </w:rPr>
        <w:t>, 14, pp. 63–77. doi: 10.1007/978-3-319-70688-7_3.</w:t>
      </w:r>
    </w:p>
    <w:p w14:paraId="7787067C"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Thomas, M. O., Onyimbo, B. A., Logeswaran, R. (2016). Usability Evaluation Criteria for Internet of Things. </w:t>
      </w:r>
      <w:r w:rsidRPr="002A63BA">
        <w:rPr>
          <w:rFonts w:ascii="Open Sans" w:hAnsi="Open Sans" w:cs="Open Sans"/>
          <w:i/>
          <w:iCs/>
          <w:noProof/>
        </w:rPr>
        <w:t>International Journal of Information Technology and Computer Science</w:t>
      </w:r>
      <w:r w:rsidRPr="002A63BA">
        <w:rPr>
          <w:rFonts w:ascii="Open Sans" w:hAnsi="Open Sans" w:cs="Open Sans"/>
          <w:noProof/>
        </w:rPr>
        <w:t>, 8(12), pp. 10–18. doi: 10.5815/ijitcs.2016.12.02.</w:t>
      </w:r>
    </w:p>
    <w:p w14:paraId="1210BC36" w14:textId="77777777" w:rsidR="00AE101A" w:rsidRPr="002A63BA" w:rsidRDefault="00AE101A" w:rsidP="005B1A5A">
      <w:pPr>
        <w:pStyle w:val="Odlomakpopisa"/>
        <w:widowControl w:val="0"/>
        <w:numPr>
          <w:ilvl w:val="0"/>
          <w:numId w:val="21"/>
        </w:numPr>
        <w:autoSpaceDE w:val="0"/>
        <w:autoSpaceDN w:val="0"/>
        <w:adjustRightInd w:val="0"/>
        <w:spacing w:after="0" w:line="276" w:lineRule="auto"/>
        <w:ind w:left="357" w:hanging="357"/>
        <w:rPr>
          <w:rFonts w:ascii="Open Sans" w:hAnsi="Open Sans" w:cs="Open Sans"/>
          <w:noProof/>
        </w:rPr>
      </w:pPr>
      <w:r w:rsidRPr="002A63BA">
        <w:rPr>
          <w:rFonts w:ascii="Open Sans" w:hAnsi="Open Sans" w:cs="Open Sans"/>
          <w:noProof/>
        </w:rPr>
        <w:t xml:space="preserve">Uslu, B., Eren, T., Gür, S., </w:t>
      </w:r>
      <w:r w:rsidRPr="002A63BA">
        <w:rPr>
          <w:rFonts w:ascii="Open Sans" w:hAnsi="Open Sans" w:cs="Open Sans"/>
          <w:caps/>
          <w:noProof/>
        </w:rPr>
        <w:t>ö</w:t>
      </w:r>
      <w:r w:rsidRPr="002A63BA">
        <w:rPr>
          <w:rFonts w:ascii="Open Sans" w:hAnsi="Open Sans" w:cs="Open Sans"/>
          <w:noProof/>
        </w:rPr>
        <w:t>zcan</w:t>
      </w:r>
      <w:r w:rsidRPr="002A63BA">
        <w:rPr>
          <w:rFonts w:ascii="Open Sans" w:hAnsi="Open Sans" w:cs="Open Sans"/>
          <w:caps/>
          <w:noProof/>
        </w:rPr>
        <w:t>, e.</w:t>
      </w:r>
      <w:r w:rsidRPr="002A63BA">
        <w:rPr>
          <w:rFonts w:ascii="Open Sans" w:hAnsi="Open Sans" w:cs="Open Sans"/>
          <w:noProof/>
        </w:rPr>
        <w:t xml:space="preserve"> (2019). Evaluation of the Difficulties in the Internet of Things (IoT) with Multi-Criteria Decision-Making. </w:t>
      </w:r>
      <w:r w:rsidRPr="002A63BA">
        <w:rPr>
          <w:rFonts w:ascii="Open Sans" w:hAnsi="Open Sans" w:cs="Open Sans"/>
          <w:i/>
          <w:iCs/>
          <w:noProof/>
        </w:rPr>
        <w:t>Processes</w:t>
      </w:r>
      <w:r w:rsidRPr="002A63BA">
        <w:rPr>
          <w:rFonts w:ascii="Open Sans" w:hAnsi="Open Sans" w:cs="Open Sans"/>
          <w:noProof/>
        </w:rPr>
        <w:t>, 7(3). doi: 10.3390/PR7030164.</w:t>
      </w:r>
    </w:p>
    <w:p w14:paraId="27110C28" w14:textId="3E23F80B" w:rsidR="00AE101A" w:rsidRDefault="00AE101A" w:rsidP="00FF3EE4">
      <w:pPr>
        <w:spacing w:after="240" w:line="276" w:lineRule="auto"/>
        <w:rPr>
          <w:rFonts w:ascii="Open Sans" w:hAnsi="Open Sans" w:cs="Open Sans"/>
        </w:rPr>
      </w:pPr>
      <w:r w:rsidRPr="002A63BA">
        <w:rPr>
          <w:rFonts w:ascii="Open Sans" w:hAnsi="Open Sans" w:cs="Open Sans"/>
        </w:rPr>
        <w:fldChar w:fldCharType="end"/>
      </w:r>
    </w:p>
    <w:p w14:paraId="04EF960A" w14:textId="765BC184" w:rsidR="005B1A5A" w:rsidRDefault="005B1A5A" w:rsidP="00FF3EE4">
      <w:pPr>
        <w:spacing w:after="240" w:line="276" w:lineRule="auto"/>
        <w:rPr>
          <w:rFonts w:ascii="Open Sans" w:hAnsi="Open Sans" w:cs="Open Sans"/>
        </w:rPr>
      </w:pPr>
    </w:p>
    <w:p w14:paraId="391BD486" w14:textId="77777777" w:rsidR="005B1A5A" w:rsidRPr="002A63BA" w:rsidRDefault="005B1A5A" w:rsidP="00FF3EE4">
      <w:pPr>
        <w:spacing w:after="240" w:line="276" w:lineRule="auto"/>
        <w:rPr>
          <w:rFonts w:ascii="Open Sans" w:hAnsi="Open Sans" w:cs="Open Sans"/>
        </w:rPr>
      </w:pPr>
    </w:p>
    <w:p w14:paraId="3018023F" w14:textId="77777777" w:rsidR="00D226A4" w:rsidRPr="002A63BA" w:rsidRDefault="00D226A4" w:rsidP="00FF3EE4">
      <w:pPr>
        <w:spacing w:line="276" w:lineRule="auto"/>
        <w:jc w:val="left"/>
        <w:rPr>
          <w:rFonts w:ascii="Open Sans" w:hAnsi="Open Sans" w:cs="Open Sans"/>
          <w:b/>
          <w:caps/>
          <w:sz w:val="24"/>
          <w:szCs w:val="24"/>
        </w:rPr>
      </w:pPr>
      <w:r w:rsidRPr="002A63BA">
        <w:rPr>
          <w:rFonts w:ascii="Open Sans" w:hAnsi="Open Sans" w:cs="Open Sans"/>
          <w:b/>
          <w:caps/>
          <w:sz w:val="24"/>
          <w:szCs w:val="24"/>
        </w:rPr>
        <w:lastRenderedPageBreak/>
        <w:br w:type="page"/>
      </w:r>
    </w:p>
    <w:p w14:paraId="3E3D3F10" w14:textId="10D0D243" w:rsidR="007C3C4B" w:rsidRPr="005B1A5A" w:rsidRDefault="007C3C4B" w:rsidP="005B1A5A">
      <w:pPr>
        <w:spacing w:after="0" w:line="276" w:lineRule="auto"/>
        <w:jc w:val="center"/>
        <w:rPr>
          <w:rFonts w:ascii="Open Sans" w:hAnsi="Open Sans" w:cs="Open Sans"/>
          <w:b/>
          <w:caps/>
          <w:sz w:val="24"/>
          <w:szCs w:val="24"/>
        </w:rPr>
      </w:pPr>
      <w:r w:rsidRPr="002A63BA">
        <w:rPr>
          <w:rFonts w:ascii="Open Sans" w:hAnsi="Open Sans" w:cs="Open Sans"/>
          <w:b/>
          <w:caps/>
          <w:sz w:val="24"/>
          <w:szCs w:val="24"/>
        </w:rPr>
        <w:lastRenderedPageBreak/>
        <w:t>Developing a Conceptual Model for Sustainable Transport Infrastructure Planning: A System Thinking Approach and Preliminary Dynamic Modeling</w:t>
      </w:r>
    </w:p>
    <w:p w14:paraId="11342F00" w14:textId="118AF630" w:rsidR="007C3C4B" w:rsidRPr="002A63BA" w:rsidRDefault="007C3C4B" w:rsidP="005B1A5A">
      <w:pPr>
        <w:pStyle w:val="N1"/>
      </w:pPr>
      <w:r w:rsidRPr="002A63BA">
        <w:t>Introduction</w:t>
      </w:r>
    </w:p>
    <w:p w14:paraId="19FBDC95"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In 1987, the Report of the World Commission for Environment and Development (WCED, 1987) described sustainable development as development that meets the needs of the present generation without compromising the ability of the upcoming generations to meet their own needs. Despite its short history, sustainable development is considered to be a multidisciplinary concept that influences many economic, social, and environmental prospects (Shao, Li, Tang, 2011). Goldman and Gorham (2006) suggest that sustainable development is effective and reliable concept due to its intuitive policy and flexible framework to adapt alongside economic and environmental challenges and social aspirations. Although the main pillars of sustainable development are economic, environmental, and social forms of capital (Elliot, 2013:20; Harris, 2000; Giddings, Hopwood, O'Brien, 2002) and their interactions (Gonzalez-Feliu, 2018:45), some authors extend the concept by adding ethical, technological, political, and other forms of capital (Pawlowski, 2009; Lankauskiene, Tvaronaviciene, 2012). According to Cheba and Saniuk (2016), evolving economic, environmental, and social requirements are primary challenges for sustainable urban logistics as an integral part of urban development. Banister and Lichfield (1995:1) added that urban attractiveness, often treated as an important issue for efficient urban mobility and transportation, largely depends on relative accessibility, which relies on the quality of transport infrastructure. Similarly, different sources presented in Cheba and Saniuk (2016) emphasize the correlation between urban accessibility and level of infrastructure development and its economic and social potential. Therefore, transport infrastructure investments are commonly seen as a critical catalyst in the process of </w:t>
      </w:r>
      <w:r w:rsidRPr="002A63BA">
        <w:rPr>
          <w:rFonts w:ascii="Open Sans" w:hAnsi="Open Sans" w:cs="Open Sans"/>
        </w:rPr>
        <w:lastRenderedPageBreak/>
        <w:t xml:space="preserve">urban development (Lee et al., 2020), enabling higher urban mobility performance and transportation of people, goods, services, and information from one location to another (Rodrigue, Comtois, Slack, 2013:1). With the undeniable influence on a city's sustainable development (Shen et al., 2018) and urban population growth (United Nations, 2019), expectations for a more effective, supportive, and sustainable transport system are evolving (Shen et al., 2018; Ngossaha et al., 2018). Accordingly, transport infrastructure has become an integral part of urban development strategies (Badada Badassa, Sun, Qiao, 2020) since no economic or social sector is independent of the transport system performance (Morchadze, Rusadze, 2018). </w:t>
      </w:r>
    </w:p>
    <w:p w14:paraId="6E4A01D7"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Considering the significance of urban mobility in sustainable development (Cheba, Saniuk, 2016; Skorobogatova, Kuzmina-Merlino, 2017) and the importance of transportation and environmental planning for urban growth (Waddel, 2002), many authors found simulation modeling to be appropriate in managing various aspects of the field (Hosseinali, Alesheikh, Nourian, 2013; Kekez, Jadrić, Ćukušić, 2021). Simulation modeling is used frequently as a reliable tool for urban mobility management (Ćukušić, Jadrić, Mijač, 2019), making system complexity, types of problems, and decision-maker requirements main factors for the choice of a suitable modeling approach (Currie et al., 2020). Since transportation system is a complex field of research with multiple system variables, relations, and loops, system thinking and system dynamics are considered appropriate approaches to describe system behavior, characteristics, and variable connections (Suryani et al., 2022; Wang, Lu, Peng, 2008). As an introductory to system dynamics modeling, system thinking is a causal approach that describes the relationships between system variables using causal loop diagrams as a supportive building mechanism for further model development (Suryani et al., 2022). </w:t>
      </w:r>
    </w:p>
    <w:p w14:paraId="28357A69"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Based on the above premises, this paper applies system thinking and preliminary dynamic modeling to create a conceptual basis for further simulations of various transport infrastructure strategies, identify the impact of different scenarios on urban mobility, and utilize system </w:t>
      </w:r>
      <w:r w:rsidRPr="002A63BA">
        <w:rPr>
          <w:rFonts w:ascii="Open Sans" w:hAnsi="Open Sans" w:cs="Open Sans"/>
        </w:rPr>
        <w:lastRenderedPageBreak/>
        <w:t>thinking in a complex environment such as a transport system. System thinking often relies on subjective intuition for evaluating the complex structures that emerge from the initial observation of the real-world system (Forrester, 1994), supporting the ability to understand how real-world system operates (Sterman, 2002). Furthermore, Sterman (2002) added that a holistic view of real-world systems facilitates faster and more effective learning and helps in making better long-term decisions. Theoretical and practical similarities and differences between system thinking and system dynamics are presented in Richmond (1994), but it is necessary to understand that systemic thinking is not quite the same as system dynamics, although it overlaps in many areas. In order to contribute a better perspective of both terms and this paper, system thinking is attached to conceptual modeling of causal loop diagrams, and system dynamics involve building and simulation of conceptual models using machine language in an appropriate simulation modeling tool. Consequently, the study evaluates suggested approaches as vital for reliable system build-up, taking both methodology advantages and disadvantages into consideration. The above-mentioned indicates that the study is considerably inspired by the described methodologies and their usage in sustainable transportation and urban development fields. Finally, this paper primarily aims toward system thinking and problem modeling rather than suggesting definitive transport solutions to reform the performance of its activities, indicating the presence of potential opportunities for further research within the case study area. The remainder of this paper is organized as follows: Literature background on urban sustainability, transport infrastructure planning, and corresponding methodologies is elaborated in section 2. Section 3 dives deeper into the research mechanism of system thinking and modeling. Section 4 introduces a case study of East Coast Split. Section 5 presents the results in conceptual system modeling of causal loop diagrams and dynamic preliminary modeling. Finally, section 6 draws a conclusion to the study with future directions for dynamic sub-modeling simulations to analyze the effectiveness of different infrastructure strategies for urban sustainability, traffic efficiency, and mobility.</w:t>
      </w:r>
    </w:p>
    <w:p w14:paraId="26A5D7CD" w14:textId="32C6FC3D" w:rsidR="007C3C4B" w:rsidRPr="002A63BA" w:rsidRDefault="007C3C4B" w:rsidP="005B1A5A">
      <w:pPr>
        <w:pStyle w:val="N1"/>
      </w:pPr>
      <w:r w:rsidRPr="002A63BA">
        <w:lastRenderedPageBreak/>
        <w:t>Literature review</w:t>
      </w:r>
    </w:p>
    <w:p w14:paraId="43549C27" w14:textId="76566A90" w:rsidR="007C3C4B" w:rsidRPr="002A63BA" w:rsidRDefault="007C3C4B" w:rsidP="00FF3EE4">
      <w:pPr>
        <w:tabs>
          <w:tab w:val="left" w:pos="3075"/>
        </w:tabs>
        <w:spacing w:line="276" w:lineRule="auto"/>
        <w:rPr>
          <w:rFonts w:ascii="Open Sans" w:hAnsi="Open Sans" w:cs="Open Sans"/>
          <w:i/>
        </w:rPr>
      </w:pPr>
      <w:r w:rsidRPr="002A63BA">
        <w:rPr>
          <w:rFonts w:ascii="Open Sans" w:hAnsi="Open Sans" w:cs="Open Sans"/>
          <w:i/>
        </w:rPr>
        <w:t>Transport infrastructure and urban development</w:t>
      </w:r>
    </w:p>
    <w:p w14:paraId="1FF7655A"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Population growth and increased migrations in urban areas correlated with transport congestion and decreased efficiency of urban mobility are driving demand for many transport infrastructure projects (Nguyen, Cook, Ireland, 2017). Transport infrastructure regulates mobility, determines transportation landscape architecture, influences trade flows, and affects various social assets of urban residence (Short, Koop, 2005). As discussed in Saidi et al. (2020), the growing impact of transportation on regional development pushes governments to increase infrastructure investments in order to achieve the long-term sustainability of transport systems and stimulate economic growth. Results correspond with sustainable policies to develop effective urban logistics while taking care of congestion reduction and negative environmental consequences. Moreover, investments in urban transport infrastructure are often the heart of efforts to trigger economic growth, as it is considered that insufficient quality of proper infrastructure is a constraint for numerous countries (Alder, 2015). Although mentioned studies portrayed that investments in transport infrastructure have a significant impact on urban economic development, some authors argue that transport infrastructure by itself is not sufficient for favorable sustainable outcomes. More specifically, Crescenzi and Rodriguez-Pose (2012) investigated the relationship between transport infrastructure investments and regional growth in the European Union (EU-15) from 1990 to 2004 and concluded there is no significant evidence that European transport investment policies largely contribute regional development. Furthermore, Elburz, Nijkamp, and Pels (2017) discovered a disparity in the outcomes of a various infrastructure investments for specific countries and regions with different levels of development (</w:t>
      </w:r>
      <w:r w:rsidRPr="002A63BA">
        <w:rPr>
          <w:rFonts w:ascii="Open Sans" w:hAnsi="Open Sans" w:cs="Open Sans"/>
          <w:i/>
        </w:rPr>
        <w:t>research included three categories: USA, Europe and 'Others'</w:t>
      </w:r>
      <w:r w:rsidRPr="002A63BA">
        <w:rPr>
          <w:rFonts w:ascii="Open Sans" w:hAnsi="Open Sans" w:cs="Open Sans"/>
        </w:rPr>
        <w:t xml:space="preserve">). The authors concluded that differences in research methodology, techniques, data type and measurements, research period, observed areas, and its </w:t>
      </w:r>
      <w:r w:rsidRPr="002A63BA">
        <w:rPr>
          <w:rFonts w:ascii="Open Sans" w:hAnsi="Open Sans" w:cs="Open Sans"/>
        </w:rPr>
        <w:lastRenderedPageBreak/>
        <w:t xml:space="preserve">characteristics, play a prominent role in obtaining positive or negative study outcomes, thereby can influence final observations and conclusions. In addition, it is possible to call upon the fact that most of the regional transport infrastructure projects require large land areas and long-term investments, and often due to its scope and schedules, the project cycle stretches over the years or even decades, making it harder to evaluate. Interestingly enough, results shown in Hong, Chu, Wang (2011) correlate with the mentioned discoveries in Elburz, Nijkamp, Pels (2017), where it is found that infrastructure investments contribute differently within particular regions of China, especially those including land transport infrastructure. The lower starting infrastructure quality is, the higher impact on economic development delivers. Xueliang (2013) complements the conclusions on transport infrastructure investments using China as a research subject, noting that infrastructure investments, including investments in transport infrastructure, should focus on the spatial efficiency in specific areas of regions. Therefore, many researchers complemented these conclusions using mathematical and simulation modeling techniques in their studies in order to evaluate and predict different land-use implications (Shen et al., 2009; Zheng et al., 2012; Geng, Zheng, Fu, 2017). This may include spatial changes at a macro scale (such as planning new urban transport system; </w:t>
      </w:r>
      <w:r w:rsidRPr="002A63BA">
        <w:rPr>
          <w:rFonts w:ascii="Open Sans" w:hAnsi="Open Sans" w:cs="Open Sans"/>
          <w:i/>
        </w:rPr>
        <w:t>e.g., creation of new urban center</w:t>
      </w:r>
      <w:r w:rsidRPr="002A63BA">
        <w:rPr>
          <w:rFonts w:ascii="Open Sans" w:hAnsi="Open Sans" w:cs="Open Sans"/>
        </w:rPr>
        <w:t xml:space="preserve">) or at a micro scale (local infrastructure projects; e.g., transport infrastructure rearrangement – </w:t>
      </w:r>
      <w:r w:rsidRPr="002A63BA">
        <w:rPr>
          <w:rFonts w:ascii="Open Sans" w:hAnsi="Open Sans" w:cs="Open Sans"/>
          <w:i/>
        </w:rPr>
        <w:t>such as</w:t>
      </w:r>
      <w:r w:rsidRPr="002A63BA">
        <w:rPr>
          <w:rFonts w:ascii="Open Sans" w:hAnsi="Open Sans" w:cs="Open Sans"/>
        </w:rPr>
        <w:t xml:space="preserve"> </w:t>
      </w:r>
      <w:r w:rsidRPr="002A63BA">
        <w:rPr>
          <w:rFonts w:ascii="Open Sans" w:hAnsi="Open Sans" w:cs="Open Sans"/>
          <w:i/>
        </w:rPr>
        <w:t>case study East Coast Split</w:t>
      </w:r>
      <w:r w:rsidRPr="002A63BA">
        <w:rPr>
          <w:rFonts w:ascii="Open Sans" w:hAnsi="Open Sans" w:cs="Open Sans"/>
        </w:rPr>
        <w:t>) (Lee et al., 2020).</w:t>
      </w:r>
    </w:p>
    <w:p w14:paraId="70F7F7B9" w14:textId="74A5EB35" w:rsidR="007C3C4B" w:rsidRPr="002A63BA" w:rsidRDefault="007C3C4B" w:rsidP="00FF3EE4">
      <w:pPr>
        <w:tabs>
          <w:tab w:val="left" w:pos="3075"/>
        </w:tabs>
        <w:spacing w:line="276" w:lineRule="auto"/>
        <w:rPr>
          <w:rFonts w:ascii="Open Sans" w:hAnsi="Open Sans" w:cs="Open Sans"/>
          <w:i/>
        </w:rPr>
      </w:pPr>
      <w:r w:rsidRPr="002A63BA">
        <w:rPr>
          <w:rFonts w:ascii="Open Sans" w:hAnsi="Open Sans" w:cs="Open Sans"/>
          <w:i/>
        </w:rPr>
        <w:t xml:space="preserve">Sustainable urban logistics and the Smart City </w:t>
      </w:r>
    </w:p>
    <w:p w14:paraId="73E75FBA"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As urban logistics has a considerable influence on the quality of life, a variety of sustainable transportation topics within the Smart City concept are becoming increasingly popular among researchers (Koglin, 2017; Benevolo, Dameri, D'Auria, 2016). Sustainable urban development and the Smart City concept represent growth paradigms that emerged as a result of the drive of cities to be more responsive to citizen requirements, elevate a higher quality of life, and enhance competitiveness in an increasingly globalized environment (Angelidou et al., 2017). Additionally, </w:t>
      </w:r>
      <w:r w:rsidRPr="002A63BA">
        <w:rPr>
          <w:rFonts w:ascii="Open Sans" w:hAnsi="Open Sans" w:cs="Open Sans"/>
        </w:rPr>
        <w:lastRenderedPageBreak/>
        <w:t xml:space="preserve">making a city </w:t>
      </w:r>
      <w:r w:rsidRPr="002A63BA">
        <w:rPr>
          <w:rFonts w:ascii="Open Sans" w:hAnsi="Open Sans" w:cs="Open Sans"/>
          <w:i/>
        </w:rPr>
        <w:t>smart</w:t>
      </w:r>
      <w:r w:rsidRPr="002A63BA">
        <w:rPr>
          <w:rFonts w:ascii="Open Sans" w:hAnsi="Open Sans" w:cs="Open Sans"/>
        </w:rPr>
        <w:t xml:space="preserve"> is an innovative way to reduce the problems caused by urban population growth and fast-paced urbanization (Chourabi et al., 2012). Rapid population growth and urban migrations are causing many technical and infrastructure problems, lowering the city's functionality and decreasing citizens' quality of life (Gil-Garcia, Pardo, Nam, 2015). However, cities can only be </w:t>
      </w:r>
      <w:r w:rsidRPr="002A63BA">
        <w:rPr>
          <w:rFonts w:ascii="Open Sans" w:hAnsi="Open Sans" w:cs="Open Sans"/>
          <w:i/>
        </w:rPr>
        <w:t>smart</w:t>
      </w:r>
      <w:r w:rsidRPr="002A63BA">
        <w:rPr>
          <w:rFonts w:ascii="Open Sans" w:hAnsi="Open Sans" w:cs="Open Sans"/>
        </w:rPr>
        <w:t xml:space="preserve"> and </w:t>
      </w:r>
      <w:r w:rsidRPr="002A63BA">
        <w:rPr>
          <w:rFonts w:ascii="Open Sans" w:hAnsi="Open Sans" w:cs="Open Sans"/>
          <w:i/>
        </w:rPr>
        <w:t>sustainable</w:t>
      </w:r>
      <w:r w:rsidRPr="002A63BA">
        <w:rPr>
          <w:rFonts w:ascii="Open Sans" w:hAnsi="Open Sans" w:cs="Open Sans"/>
        </w:rPr>
        <w:t xml:space="preserve"> if there are adequate technological solutions that can integrate and synthesize data collected through multiple sources regarding the movements of people, goods, and information about the physical and social form of the city (Batty et al., 2012). Due to the popularity of the concept and its elements, different interpretations may appear among various research areas (Ninčević, Ćukušić, Jadrić, 2020), including urban planning and transport system development. Hall et al. (2000) shared its vision of a </w:t>
      </w:r>
      <w:r w:rsidRPr="002A63BA">
        <w:rPr>
          <w:rFonts w:ascii="Open Sans" w:hAnsi="Open Sans" w:cs="Open Sans"/>
          <w:i/>
        </w:rPr>
        <w:t>smart</w:t>
      </w:r>
      <w:r w:rsidRPr="002A63BA">
        <w:rPr>
          <w:rFonts w:ascii="Open Sans" w:hAnsi="Open Sans" w:cs="Open Sans"/>
        </w:rPr>
        <w:t xml:space="preserve"> city and its infrastructure as:</w:t>
      </w:r>
      <w:r w:rsidRPr="002A63BA">
        <w:rPr>
          <w:rFonts w:ascii="Open Sans" w:hAnsi="Open Sans" w:cs="Open Sans"/>
          <w:i/>
        </w:rPr>
        <w:t xml:space="preserve"> „A city that monitors and integrates conditions of all of its critical infrastructure, including roads, bridges, tunnels, railways, airports, seaports, etc., can better optimize its resources, plan its preventive maintenance activities, and monitor security aspects while maximizing services to its citizens</w:t>
      </w:r>
      <w:r w:rsidRPr="002A63BA">
        <w:rPr>
          <w:rFonts w:ascii="Open Sans" w:hAnsi="Open Sans" w:cs="Open Sans"/>
        </w:rPr>
        <w:t>.“ Likewise, Harrison et al. (2010) combine different infrastructure elements, including transport infrastructure, to leverage the city's intelligence. Additionally, besides urban infrastructure and comparable to earlier Banister and Lichfield's (1995) statement, Giffinger et al. (2007) emphasize the importance of urban accessibility for city development as well as the availability of ICT and sustainable transport systems, all under the framework of Smart City and Smart Mobility. Alongside infrastructure-oriented topics, Smart Mobility also investigates a variety of issues specific to traffic management strategies, vehicle tracking, security in transport (Ismagilova et al., 2019) and encourages sustainable development by optimizing transport services while taking into consideration its economic, social, and environmental challenges (Zawieska, Pieriegud, 2018).</w:t>
      </w:r>
    </w:p>
    <w:p w14:paraId="0E505597" w14:textId="1A25C710" w:rsidR="007C3C4B" w:rsidRPr="002A63BA" w:rsidRDefault="007C3C4B" w:rsidP="00FF3EE4">
      <w:pPr>
        <w:tabs>
          <w:tab w:val="left" w:pos="3075"/>
        </w:tabs>
        <w:spacing w:line="276" w:lineRule="auto"/>
        <w:rPr>
          <w:rFonts w:ascii="Open Sans" w:hAnsi="Open Sans" w:cs="Open Sans"/>
          <w:i/>
        </w:rPr>
      </w:pPr>
      <w:r w:rsidRPr="002A63BA">
        <w:rPr>
          <w:rFonts w:ascii="Open Sans" w:hAnsi="Open Sans" w:cs="Open Sans"/>
          <w:i/>
        </w:rPr>
        <w:t xml:space="preserve">System thinking and dynamic modeling for transport infrastructure planning </w:t>
      </w:r>
    </w:p>
    <w:p w14:paraId="064858D5" w14:textId="77777777" w:rsidR="00737ACF"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Compared with traditional qualitative and quantitative methods for transport infrastructure analysis and transport systems in general, </w:t>
      </w:r>
      <w:r w:rsidRPr="002A63BA">
        <w:rPr>
          <w:rFonts w:ascii="Open Sans" w:hAnsi="Open Sans" w:cs="Open Sans"/>
        </w:rPr>
        <w:lastRenderedPageBreak/>
        <w:t xml:space="preserve">system thinking helps conceptualize the relations among system variables, while system dynamics quantifies them through the building of dynamic differential equations using simulation tools (Xue et al., 2020). As a research methodology, the concept of system dynamics developed from a system theory in the business management field during the late 1950s under Jay Forrester at the Massachusetts Institute of Technology (Wolstenholme, 1982), and over the years, expanded its research areas at an exponential rate (Forrester, 1994), including urban studies, transport systems and infrastructure (Shepherd, 2014). Some of the previously cited studies in this section successfully adopted and presented a system dynamics approach to simulate and validate the consequences of different land-use strategies, including land transportation, but additionally revealed an absence of transport infrastructure planning in the process. Simulation planning with system dynamics enables 'what-if' scenario experiments which is a valuable complementary technique to the infrastructure project management due to its ability to incorporate the more subjective factors within causal loop diagrams and 'communicate' the relations between system variables of infrastructure projects (Rodrigues, Bowers, 1996; Richardson, Otto, 2008). Additionally, system dynamics is considered to be a convenient tool for risk management in infrastructure project development due to a lack of systematic approaches and instruments for identifying and expressing the interactions among economic, social, and environmental challenges in project development (Boateng et al., 2012). Therefore, many authors identified research potential between transport infrastructure planning, land-use strategies, system thinking, and dynamics modeling and, consequently, provided additional research literature in order to support sustainable development and infrastructure project management. Haghshenas, Vaziri, and Gholamialam (2014) developed a dynamic transportation model using system thinking and dynamics in order to analyze different sustainable transportation policies. System analysis and model development included sustainable transportation indicators, trip generation module, and both private and public transport infrastructure capacities. Jiang, Li and Xu (2010) used a system dynamics approach to </w:t>
      </w:r>
      <w:r w:rsidRPr="002A63BA">
        <w:rPr>
          <w:rFonts w:ascii="Open Sans" w:hAnsi="Open Sans" w:cs="Open Sans"/>
        </w:rPr>
        <w:lastRenderedPageBreak/>
        <w:t>estimate the impacts of different transport infrastructure investments on tourism development and revenues from tourism activities in the particular regions of China. Nguyen, Cook, and Ireland (2017) combined system dynamics with cost-benefit analysis in order to evaluate the economic and social impacts of transport infrastructure investments and estimate possible outcomes of different scenarios. Similarly, Wang et al. (2018) estimated the influence of transport infrastructure investments on the regional economy and employment rate to help the policymakers evaluate the possible outcomes of different strategies. The authors concluded that system dynamics modeling is an appropriate technique for transport infrastructure planning, and it can be effective in economic forecasting and analytics. In order to achieve promising sustainability performance in transportation, Shen et al. (2018) implemented a dynamic model to investigate sustainable policies for transportation development and mobility performance in an urban area. The study included both transport demand and infrastructure supply to support day-to-day urban activities and development on a macro scale. In addition, some authors combined system dynamics and transportation planning for urban mobility improvement, including infrastructure capacity expansion and its influence on urban sustainability (Wang, Lu, Peng, 2008; Noto, 2017). More specifically, Wang, Lu, and Peng's (2008) simulation process included a subsystem modeling approach divided into seven related submodels of an urban transport system focusing on vehicle policy and its effects on urban development. Considering the demonstrated insights, it is possible to conclude that transport modeling deals with an increased number of system interactions simultaneously, making system thin</w:t>
      </w:r>
      <w:r w:rsidR="00737ACF" w:rsidRPr="002A63BA">
        <w:rPr>
          <w:rFonts w:ascii="Open Sans" w:hAnsi="Open Sans" w:cs="Open Sans"/>
        </w:rPr>
        <w:t>king inevitable in the process.</w:t>
      </w:r>
    </w:p>
    <w:p w14:paraId="2B325B73" w14:textId="20849D27" w:rsidR="007C3C4B" w:rsidRPr="002A63BA" w:rsidRDefault="007C3C4B" w:rsidP="005B1A5A">
      <w:pPr>
        <w:pStyle w:val="N1"/>
      </w:pPr>
      <w:r w:rsidRPr="002A63BA">
        <w:t>Research methodology</w:t>
      </w:r>
    </w:p>
    <w:p w14:paraId="45EB1FAC"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This study combines the system thinking and dynamics modeling approach into a mutual format, focusing primarily on conceptual modeling of a complex system in order to set a valuable basis for further infrastructure capacity analysis and performance estimation under </w:t>
      </w:r>
      <w:r w:rsidRPr="002A63BA">
        <w:rPr>
          <w:rFonts w:ascii="Open Sans" w:hAnsi="Open Sans" w:cs="Open Sans"/>
        </w:rPr>
        <w:lastRenderedPageBreak/>
        <w:t>particular sustainable and transportation challenges in the area. Thus, both methodologies are taken into model development since they are part of a system theory and are complementary to each other. At this stage, the research approach implies the dynamic hypothesis elaboration that requires the creation of a dynamic model that will consider the conceptual foundation built under the scope of this research in further testing. Within this framework, system dynamics is a methodology that applies different methods and tools to support system thinking, facilitate modeling, analysis and learning about real-world problems, structures and processes (Forrester, 1961; Sterman, 2001; Goh, Love, 2012). Simulated models are 'representative' or 'substitute' structures of a real-world system they represent (Mäki, 2005), defined by a set of statements about a targeted system (Seidewitz, 2003). However, no matter how much in detail a real-world system can be examined, it is impossible to identify all system variables and their relationships (</w:t>
      </w:r>
      <w:r w:rsidRPr="002A63BA">
        <w:rPr>
          <w:rFonts w:ascii="Open Sans" w:hAnsi="Open Sans" w:cs="Open Sans"/>
          <w:i/>
        </w:rPr>
        <w:t>hidden loops</w:t>
      </w:r>
      <w:r w:rsidRPr="002A63BA">
        <w:rPr>
          <w:rFonts w:ascii="Open Sans" w:hAnsi="Open Sans" w:cs="Open Sans"/>
        </w:rPr>
        <w:t xml:space="preserve">) that affect system behavior (Richardson, 1986). Furthermore, it is not recommended to make overly detailed system model due to its potential underperforming and impracticalities working with extensive models. Additionally, the system modeling is not a time-definitive process but an indefinite one since many system changes affect its structure evolution, causing it to grow over time, adding difficulties to analyze, and providing new system insights to the system analysts. Even if most of the variables are inactive, the remaining active system variables form a new system structure with different practices and rules. Therefore, a good model is a tradeoff between realism and simplicity (Maria, 1997). </w:t>
      </w:r>
    </w:p>
    <w:p w14:paraId="682ADB9B"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The process of systems modeling consists of two main procedures: causal loop modeling (</w:t>
      </w:r>
      <w:r w:rsidRPr="002A63BA">
        <w:rPr>
          <w:rFonts w:ascii="Open Sans" w:hAnsi="Open Sans" w:cs="Open Sans"/>
          <w:i/>
        </w:rPr>
        <w:t>system thinking</w:t>
      </w:r>
      <w:r w:rsidRPr="002A63BA">
        <w:rPr>
          <w:rFonts w:ascii="Open Sans" w:hAnsi="Open Sans" w:cs="Open Sans"/>
        </w:rPr>
        <w:t>) and stock-flow modeling (</w:t>
      </w:r>
      <w:r w:rsidRPr="002A63BA">
        <w:rPr>
          <w:rFonts w:ascii="Open Sans" w:hAnsi="Open Sans" w:cs="Open Sans"/>
          <w:i/>
        </w:rPr>
        <w:t>system dynamics</w:t>
      </w:r>
      <w:r w:rsidRPr="002A63BA">
        <w:rPr>
          <w:rFonts w:ascii="Open Sans" w:hAnsi="Open Sans" w:cs="Open Sans"/>
        </w:rPr>
        <w:t>) – this study focuses mainly on system thinking. Forrester (2009) specifies that all system activities are closed-loop structures, a network of feedback loops where every action or change generates some return. These feedbacks present a fundamental step in designing the dynamic hypothesis using system thinking. Furthermore, feedback loops can be: </w:t>
      </w:r>
      <w:r w:rsidRPr="002A63BA">
        <w:rPr>
          <w:rStyle w:val="Istaknuto"/>
          <w:rFonts w:ascii="Open Sans" w:hAnsi="Open Sans" w:cs="Open Sans"/>
          <w:color w:val="0E101A"/>
        </w:rPr>
        <w:t>positive</w:t>
      </w:r>
      <w:r w:rsidRPr="002A63BA">
        <w:rPr>
          <w:rFonts w:ascii="Open Sans" w:hAnsi="Open Sans" w:cs="Open Sans"/>
        </w:rPr>
        <w:t xml:space="preserve"> - generating value increase on primary system variable </w:t>
      </w:r>
      <w:r w:rsidRPr="002A63BA">
        <w:rPr>
          <w:rFonts w:ascii="Open Sans" w:hAnsi="Open Sans" w:cs="Open Sans"/>
        </w:rPr>
        <w:lastRenderedPageBreak/>
        <w:t>(</w:t>
      </w:r>
      <w:r w:rsidRPr="002A63BA">
        <w:rPr>
          <w:rStyle w:val="Istaknuto"/>
          <w:rFonts w:ascii="Open Sans" w:hAnsi="Open Sans" w:cs="Open Sans"/>
          <w:color w:val="0E101A"/>
        </w:rPr>
        <w:t>Reinforcing loop</w:t>
      </w:r>
      <w:r w:rsidRPr="002A63BA">
        <w:rPr>
          <w:rFonts w:ascii="Open Sans" w:hAnsi="Open Sans" w:cs="Open Sans"/>
        </w:rPr>
        <w:t>), </w:t>
      </w:r>
      <w:r w:rsidRPr="002A63BA">
        <w:rPr>
          <w:rStyle w:val="Istaknuto"/>
          <w:rFonts w:ascii="Open Sans" w:hAnsi="Open Sans" w:cs="Open Sans"/>
          <w:color w:val="0E101A"/>
        </w:rPr>
        <w:t>negative</w:t>
      </w:r>
      <w:r w:rsidRPr="002A63BA">
        <w:rPr>
          <w:rFonts w:ascii="Open Sans" w:hAnsi="Open Sans" w:cs="Open Sans"/>
        </w:rPr>
        <w:t> – generating value decrease on primary system variable (</w:t>
      </w:r>
      <w:r w:rsidRPr="002A63BA">
        <w:rPr>
          <w:rStyle w:val="Istaknuto"/>
          <w:rFonts w:ascii="Open Sans" w:hAnsi="Open Sans" w:cs="Open Sans"/>
          <w:color w:val="0E101A"/>
        </w:rPr>
        <w:t>Balancing loop</w:t>
      </w:r>
      <w:r w:rsidRPr="002A63BA">
        <w:rPr>
          <w:rFonts w:ascii="Open Sans" w:hAnsi="Open Sans" w:cs="Open Sans"/>
        </w:rPr>
        <w:t>), </w:t>
      </w:r>
      <w:r w:rsidRPr="002A63BA">
        <w:rPr>
          <w:rStyle w:val="Istaknuto"/>
          <w:rFonts w:ascii="Open Sans" w:hAnsi="Open Sans" w:cs="Open Sans"/>
          <w:color w:val="0E101A"/>
        </w:rPr>
        <w:t>time delay</w:t>
      </w:r>
      <w:r w:rsidRPr="002A63BA">
        <w:rPr>
          <w:rFonts w:ascii="Open Sans" w:hAnsi="Open Sans" w:cs="Open Sans"/>
        </w:rPr>
        <w:t xml:space="preserve"> – feedback with system delay on return. Time delays are a specific feedback channel due to their long-run response nature (Sterman, 2002), whether considering the time needed for the system to tradeoff primary intervention or given time to stabilize around its average values. </w:t>
      </w:r>
    </w:p>
    <w:p w14:paraId="4F37A625"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1B82F542" wp14:editId="0A0798E8">
            <wp:extent cx="2978378" cy="1716047"/>
            <wp:effectExtent l="19050" t="0" r="0" b="0"/>
            <wp:docPr id="35" name="Picture 2" descr="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b.jpg"/>
                    <pic:cNvPicPr/>
                  </pic:nvPicPr>
                  <pic:blipFill>
                    <a:blip r:embed="rId73" cstate="screen">
                      <a:extLst>
                        <a:ext uri="{28A0092B-C50C-407E-A947-70E740481C1C}">
                          <a14:useLocalDpi xmlns:a14="http://schemas.microsoft.com/office/drawing/2010/main"/>
                        </a:ext>
                      </a:extLst>
                    </a:blip>
                    <a:stretch>
                      <a:fillRect/>
                    </a:stretch>
                  </pic:blipFill>
                  <pic:spPr>
                    <a:xfrm>
                      <a:off x="0" y="0"/>
                      <a:ext cx="2978378" cy="1716047"/>
                    </a:xfrm>
                    <a:prstGeom prst="rect">
                      <a:avLst/>
                    </a:prstGeom>
                  </pic:spPr>
                </pic:pic>
              </a:graphicData>
            </a:graphic>
          </wp:inline>
        </w:drawing>
      </w:r>
    </w:p>
    <w:p w14:paraId="24EDB54E"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1. </w:t>
      </w:r>
      <w:r w:rsidRPr="002A63BA">
        <w:rPr>
          <w:rFonts w:ascii="Open Sans" w:hAnsi="Open Sans" w:cs="Open Sans"/>
          <w:i/>
        </w:rPr>
        <w:t>Causal loop diagram</w:t>
      </w:r>
      <w:r w:rsidRPr="002A63BA">
        <w:rPr>
          <w:rFonts w:ascii="Open Sans" w:hAnsi="Open Sans" w:cs="Open Sans"/>
          <w:iCs/>
        </w:rPr>
        <w:t xml:space="preserve"> (Yu et al., 2014)</w:t>
      </w:r>
    </w:p>
    <w:p w14:paraId="4E513F56"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Stock-flow model is built out of three types of variables: stock, rate and auxiliary variables, and two types of flows, material and information flow. System variables, together with material and information flow, create the basic structure of a dynamic system (Shen et al., 2009). The ability to describe dynamic processes continuously with time delays and study cumulative system changes makes system dynamics a worthy approach for various sustainable development issues (Xue et al., 2020) as well as transportation-oriented topics (Coyle, 1996). Simplified, the stock is a resource accumulation changed in time (t) and by a rate determined in a flow. How flow operates is defined with an operational statement (</w:t>
      </w:r>
      <w:r w:rsidRPr="002A63BA">
        <w:rPr>
          <w:rFonts w:ascii="Open Sans" w:hAnsi="Open Sans" w:cs="Open Sans"/>
          <w:i/>
        </w:rPr>
        <w:t>syntatic rule</w:t>
      </w:r>
      <w:r w:rsidRPr="002A63BA">
        <w:rPr>
          <w:rFonts w:ascii="Open Sans" w:hAnsi="Open Sans" w:cs="Open Sans"/>
        </w:rPr>
        <w:t>) controlled by a current state of stock in comparison to a system's goals (Forrester, 2009). In a given interval of system simulation, the flow controls the ongoing (</w:t>
      </w:r>
      <w:r w:rsidRPr="002A63BA">
        <w:rPr>
          <w:rStyle w:val="Istaknuto"/>
          <w:rFonts w:ascii="Open Sans" w:hAnsi="Open Sans" w:cs="Open Sans"/>
          <w:color w:val="0E101A"/>
        </w:rPr>
        <w:t>accumulated</w:t>
      </w:r>
      <w:r w:rsidRPr="002A63BA">
        <w:rPr>
          <w:rFonts w:ascii="Open Sans" w:hAnsi="Open Sans" w:cs="Open Sans"/>
        </w:rPr>
        <w:t>) state (</w:t>
      </w:r>
      <w:r w:rsidRPr="002A63BA">
        <w:rPr>
          <w:rStyle w:val="Istaknuto"/>
          <w:rFonts w:ascii="Open Sans" w:hAnsi="Open Sans" w:cs="Open Sans"/>
          <w:color w:val="0E101A"/>
        </w:rPr>
        <w:t>value</w:t>
      </w:r>
      <w:r w:rsidRPr="002A63BA">
        <w:rPr>
          <w:rFonts w:ascii="Open Sans" w:hAnsi="Open Sans" w:cs="Open Sans"/>
        </w:rPr>
        <w:t>) of stock by changing its system behavior (</w:t>
      </w:r>
      <w:r w:rsidRPr="002A63BA">
        <w:rPr>
          <w:rStyle w:val="Istaknuto"/>
          <w:rFonts w:ascii="Open Sans" w:hAnsi="Open Sans" w:cs="Open Sans"/>
          <w:color w:val="0E101A"/>
        </w:rPr>
        <w:t>oscillations</w:t>
      </w:r>
      <w:r w:rsidRPr="002A63BA">
        <w:rPr>
          <w:rFonts w:ascii="Open Sans" w:hAnsi="Open Sans" w:cs="Open Sans"/>
        </w:rPr>
        <w:t>) from positive (</w:t>
      </w:r>
      <w:r w:rsidRPr="002A63BA">
        <w:rPr>
          <w:rStyle w:val="Istaknuto"/>
          <w:rFonts w:ascii="Open Sans" w:hAnsi="Open Sans" w:cs="Open Sans"/>
          <w:color w:val="0E101A"/>
        </w:rPr>
        <w:t>increase</w:t>
      </w:r>
      <w:r w:rsidRPr="002A63BA">
        <w:rPr>
          <w:rFonts w:ascii="Open Sans" w:hAnsi="Open Sans" w:cs="Open Sans"/>
        </w:rPr>
        <w:t>) to negative (</w:t>
      </w:r>
      <w:r w:rsidRPr="002A63BA">
        <w:rPr>
          <w:rStyle w:val="Istaknuto"/>
          <w:rFonts w:ascii="Open Sans" w:hAnsi="Open Sans" w:cs="Open Sans"/>
          <w:color w:val="0E101A"/>
        </w:rPr>
        <w:t>decrease</w:t>
      </w:r>
      <w:r w:rsidRPr="002A63BA">
        <w:rPr>
          <w:rFonts w:ascii="Open Sans" w:hAnsi="Open Sans" w:cs="Open Sans"/>
        </w:rPr>
        <w:t>) and vice versa (</w:t>
      </w:r>
      <w:r w:rsidRPr="002A63BA">
        <w:rPr>
          <w:rStyle w:val="Istaknuto"/>
          <w:rFonts w:ascii="Open Sans" w:hAnsi="Open Sans" w:cs="Open Sans"/>
          <w:color w:val="0E101A"/>
        </w:rPr>
        <w:t>or strictly positive or negative system accumulation</w:t>
      </w:r>
      <w:r w:rsidRPr="002A63BA">
        <w:rPr>
          <w:rFonts w:ascii="Open Sans" w:hAnsi="Open Sans" w:cs="Open Sans"/>
        </w:rPr>
        <w:t xml:space="preserve">), or system stabilization around goal-seeking values (Sterman, 2000: 107-133). Patterns of behavior are accumulated in time </w:t>
      </w:r>
      <w:r w:rsidRPr="002A63BA">
        <w:rPr>
          <w:rFonts w:ascii="Open Sans" w:hAnsi="Open Sans" w:cs="Open Sans"/>
        </w:rPr>
        <w:lastRenderedPageBreak/>
        <w:t>on the stock and can be affected by different inflow rates that can be hidden or shown in the final system model. Therefore, adding a time interval is essential for the dynamic nature of system dynamics models as differential equations calculate the rate of a system change continuously during the specified time interval (</w:t>
      </w:r>
      <w:r w:rsidRPr="002A63BA">
        <w:rPr>
          <w:rStyle w:val="Istaknuto"/>
          <w:rFonts w:ascii="Open Sans" w:hAnsi="Open Sans" w:cs="Open Sans"/>
          <w:color w:val="0E101A"/>
        </w:rPr>
        <w:t>t(0) – t(n)</w:t>
      </w:r>
      <w:r w:rsidRPr="002A63BA">
        <w:rPr>
          <w:rFonts w:ascii="Open Sans" w:hAnsi="Open Sans" w:cs="Open Sans"/>
        </w:rPr>
        <w:t xml:space="preserve">).  A mathematical relationship between stock and flow can be expressed by the equation: </w:t>
      </w:r>
    </w:p>
    <w:p w14:paraId="1DF7A375"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position w:val="-18"/>
        </w:rPr>
        <w:object w:dxaOrig="5560" w:dyaOrig="520" w14:anchorId="413B1A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7pt;height:24pt" o:ole="">
            <v:imagedata r:id="rId74" o:title=""/>
          </v:shape>
          <o:OLEObject Type="Embed" ProgID="Equation.3" ShapeID="_x0000_i1025" DrawAspect="Content" ObjectID="_1723468514" r:id="rId75"/>
        </w:object>
      </w:r>
    </w:p>
    <w:p w14:paraId="4046717B"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where: (1) </w:t>
      </w:r>
      <w:r w:rsidRPr="002A63BA">
        <w:rPr>
          <w:rFonts w:ascii="Open Sans" w:hAnsi="Open Sans" w:cs="Open Sans"/>
          <w:b/>
        </w:rPr>
        <w:t>S(t)</w:t>
      </w:r>
      <w:r w:rsidRPr="002A63BA">
        <w:rPr>
          <w:rFonts w:ascii="Open Sans" w:hAnsi="Open Sans" w:cs="Open Sans"/>
        </w:rPr>
        <w:t xml:space="preserve"> – accumuliated stock value in time (t); (2) </w:t>
      </w:r>
      <w:r w:rsidRPr="002A63BA">
        <w:rPr>
          <w:rFonts w:ascii="Open Sans" w:hAnsi="Open Sans" w:cs="Open Sans"/>
          <w:b/>
        </w:rPr>
        <w:t>S(0)</w:t>
      </w:r>
      <w:r w:rsidRPr="002A63BA">
        <w:rPr>
          <w:rFonts w:ascii="Open Sans" w:hAnsi="Open Sans" w:cs="Open Sans"/>
        </w:rPr>
        <w:t xml:space="preserve"> – the initial stock value; (3) </w:t>
      </w:r>
      <w:r w:rsidRPr="002A63BA">
        <w:rPr>
          <w:rFonts w:ascii="Open Sans" w:hAnsi="Open Sans" w:cs="Open Sans"/>
          <w:b/>
        </w:rPr>
        <w:t>F</w:t>
      </w:r>
      <w:r w:rsidRPr="002A63BA">
        <w:rPr>
          <w:rFonts w:ascii="Open Sans" w:hAnsi="Open Sans" w:cs="Open Sans"/>
          <w:b/>
          <w:i/>
        </w:rPr>
        <w:t>in_flow</w:t>
      </w:r>
      <w:r w:rsidRPr="002A63BA">
        <w:rPr>
          <w:rFonts w:ascii="Open Sans" w:hAnsi="Open Sans" w:cs="Open Sans"/>
          <w:b/>
        </w:rPr>
        <w:t>(t)</w:t>
      </w:r>
      <w:r w:rsidRPr="002A63BA">
        <w:rPr>
          <w:rFonts w:ascii="Open Sans" w:hAnsi="Open Sans" w:cs="Open Sans"/>
        </w:rPr>
        <w:t xml:space="preserve"> and </w:t>
      </w:r>
      <w:r w:rsidRPr="002A63BA">
        <w:rPr>
          <w:rFonts w:ascii="Open Sans" w:hAnsi="Open Sans" w:cs="Open Sans"/>
          <w:b/>
        </w:rPr>
        <w:t>F</w:t>
      </w:r>
      <w:r w:rsidRPr="002A63BA">
        <w:rPr>
          <w:rFonts w:ascii="Open Sans" w:hAnsi="Open Sans" w:cs="Open Sans"/>
          <w:b/>
          <w:i/>
        </w:rPr>
        <w:t>out_flow</w:t>
      </w:r>
      <w:r w:rsidRPr="002A63BA">
        <w:rPr>
          <w:rFonts w:ascii="Open Sans" w:hAnsi="Open Sans" w:cs="Open Sans"/>
          <w:b/>
        </w:rPr>
        <w:t xml:space="preserve">(t) </w:t>
      </w:r>
      <w:r w:rsidRPr="002A63BA">
        <w:rPr>
          <w:rFonts w:ascii="Open Sans" w:hAnsi="Open Sans" w:cs="Open Sans"/>
        </w:rPr>
        <w:t>– a differential flow in time (t). The remaining system (</w:t>
      </w:r>
      <w:r w:rsidRPr="002A63BA">
        <w:rPr>
          <w:rStyle w:val="Istaknuto"/>
          <w:rFonts w:ascii="Open Sans" w:hAnsi="Open Sans" w:cs="Open Sans"/>
          <w:color w:val="0E101A"/>
        </w:rPr>
        <w:t>auxiliary</w:t>
      </w:r>
      <w:r w:rsidRPr="002A63BA">
        <w:rPr>
          <w:rFonts w:ascii="Open Sans" w:hAnsi="Open Sans" w:cs="Open Sans"/>
        </w:rPr>
        <w:t>) variables help calculate the flows or communicate the stages of the calculation process (Caponio et al., 2015).</w:t>
      </w:r>
    </w:p>
    <w:p w14:paraId="697C5B71"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6081AB09" wp14:editId="698B5F4B">
            <wp:extent cx="3010753" cy="1635649"/>
            <wp:effectExtent l="19050" t="0" r="0" b="0"/>
            <wp:docPr id="36" name="Picture 3" descr="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jpg"/>
                    <pic:cNvPicPr/>
                  </pic:nvPicPr>
                  <pic:blipFill>
                    <a:blip r:embed="rId76" cstate="screen">
                      <a:extLst>
                        <a:ext uri="{28A0092B-C50C-407E-A947-70E740481C1C}">
                          <a14:useLocalDpi xmlns:a14="http://schemas.microsoft.com/office/drawing/2010/main"/>
                        </a:ext>
                      </a:extLst>
                    </a:blip>
                    <a:srcRect/>
                    <a:stretch>
                      <a:fillRect/>
                    </a:stretch>
                  </pic:blipFill>
                  <pic:spPr>
                    <a:xfrm>
                      <a:off x="0" y="0"/>
                      <a:ext cx="3010753" cy="1635649"/>
                    </a:xfrm>
                    <a:prstGeom prst="rect">
                      <a:avLst/>
                    </a:prstGeom>
                  </pic:spPr>
                </pic:pic>
              </a:graphicData>
            </a:graphic>
          </wp:inline>
        </w:drawing>
      </w:r>
    </w:p>
    <w:p w14:paraId="62CCDD22"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2. </w:t>
      </w:r>
      <w:r w:rsidRPr="002A63BA">
        <w:rPr>
          <w:rFonts w:ascii="Open Sans" w:hAnsi="Open Sans" w:cs="Open Sans"/>
          <w:i/>
        </w:rPr>
        <w:t xml:space="preserve">Causal loop diagram displaying stock and flow structure </w:t>
      </w:r>
      <w:r w:rsidRPr="002A63BA">
        <w:rPr>
          <w:rFonts w:ascii="Open Sans" w:hAnsi="Open Sans" w:cs="Open Sans"/>
          <w:iCs/>
        </w:rPr>
        <w:t>(Author's drawing based on Sterman, 2001; Yu et al., 2014)</w:t>
      </w:r>
    </w:p>
    <w:p w14:paraId="684C4E72" w14:textId="02EC3F7E" w:rsidR="007C3C4B" w:rsidRPr="002A63BA" w:rsidRDefault="007C3C4B" w:rsidP="005B1A5A">
      <w:pPr>
        <w:pStyle w:val="N1"/>
      </w:pPr>
      <w:r w:rsidRPr="002A63BA">
        <w:t>Case study</w:t>
      </w:r>
    </w:p>
    <w:p w14:paraId="526A573C" w14:textId="77777777" w:rsidR="007C3C4B" w:rsidRPr="002A63BA" w:rsidRDefault="007C3C4B" w:rsidP="00FF3EE4">
      <w:pPr>
        <w:spacing w:after="240" w:line="276" w:lineRule="auto"/>
        <w:rPr>
          <w:rFonts w:ascii="Open Sans" w:hAnsi="Open Sans" w:cs="Open Sans"/>
        </w:rPr>
      </w:pPr>
      <w:r w:rsidRPr="002A63BA">
        <w:rPr>
          <w:rFonts w:ascii="Open Sans" w:hAnsi="Open Sans" w:cs="Open Sans"/>
        </w:rPr>
        <w:t xml:space="preserve">According to local authorities reviews (City of Split, 2005), the future development of a city largely relies on the quality of transport infrastructure and the ability to meet growing transport demand, especially those initiated in the tourist season during summer months. The logistics role of the city in local and regional transportation is determined by its geographic position and the fact that the city of Split is the largest regional center on the eastern side of the Adriatic Sea coast (Tourist Board of the City of Split, 2017; City of Split, 2005). East Coast </w:t>
      </w:r>
      <w:r w:rsidRPr="002A63BA">
        <w:rPr>
          <w:rFonts w:ascii="Open Sans" w:hAnsi="Open Sans" w:cs="Open Sans"/>
        </w:rPr>
        <w:lastRenderedPageBreak/>
        <w:t xml:space="preserve">Area, which is located near the city center and on the eastern side of a city riviera, holds the vital logistic function of the city and the local community. The mentioned location comprises different private and public transportation options whose transport infrastructure capacities are divided into three functional areas: (1) Road infrastructure, (2) Rail infrastructure, (3) Port infrastructure. </w:t>
      </w:r>
    </w:p>
    <w:p w14:paraId="54A1813F" w14:textId="77777777" w:rsidR="007C3C4B" w:rsidRPr="002A63BA" w:rsidRDefault="007C3C4B" w:rsidP="005B1A5A">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22D3B716" wp14:editId="1F0627E3">
            <wp:extent cx="3360717" cy="3360717"/>
            <wp:effectExtent l="0" t="0" r="0" b="0"/>
            <wp:docPr id="37" name="Picture 4" descr="city of spl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ty of split.jpg"/>
                    <pic:cNvPicPr/>
                  </pic:nvPicPr>
                  <pic:blipFill>
                    <a:blip r:embed="rId77" cstate="screen">
                      <a:extLst>
                        <a:ext uri="{28A0092B-C50C-407E-A947-70E740481C1C}">
                          <a14:useLocalDpi xmlns:a14="http://schemas.microsoft.com/office/drawing/2010/main"/>
                        </a:ext>
                      </a:extLst>
                    </a:blip>
                    <a:stretch>
                      <a:fillRect/>
                    </a:stretch>
                  </pic:blipFill>
                  <pic:spPr>
                    <a:xfrm>
                      <a:off x="0" y="0"/>
                      <a:ext cx="3378563" cy="3378563"/>
                    </a:xfrm>
                    <a:prstGeom prst="rect">
                      <a:avLst/>
                    </a:prstGeom>
                  </pic:spPr>
                </pic:pic>
              </a:graphicData>
            </a:graphic>
          </wp:inline>
        </w:drawing>
      </w:r>
    </w:p>
    <w:p w14:paraId="52E82FAB"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Figure 3.</w:t>
      </w:r>
      <w:r w:rsidRPr="002A63BA">
        <w:rPr>
          <w:rFonts w:ascii="Open Sans" w:hAnsi="Open Sans" w:cs="Open Sans"/>
          <w:i/>
        </w:rPr>
        <w:t xml:space="preserve"> Land transport infrastructure area – East Coast Split</w:t>
      </w:r>
      <w:r w:rsidRPr="002A63BA">
        <w:rPr>
          <w:rFonts w:ascii="Open Sans" w:hAnsi="Open Sans" w:cs="Open Sans"/>
          <w:iCs/>
        </w:rPr>
        <w:t xml:space="preserve">, </w:t>
      </w:r>
      <w:r w:rsidRPr="002A63BA">
        <w:rPr>
          <w:rFonts w:ascii="Open Sans" w:hAnsi="Open Sans" w:cs="Open Sans"/>
          <w:i/>
        </w:rPr>
        <w:t xml:space="preserve">Google Maps </w:t>
      </w:r>
      <w:r w:rsidRPr="002A63BA">
        <w:rPr>
          <w:rFonts w:ascii="Open Sans" w:hAnsi="Open Sans" w:cs="Open Sans"/>
          <w:iCs/>
        </w:rPr>
        <w:t>(Author's work)</w:t>
      </w:r>
    </w:p>
    <w:p w14:paraId="30798E89" w14:textId="77777777" w:rsidR="007C3C4B" w:rsidRPr="002A63BA" w:rsidRDefault="007C3C4B" w:rsidP="00FF3EE4">
      <w:pPr>
        <w:spacing w:line="276" w:lineRule="auto"/>
        <w:rPr>
          <w:rFonts w:ascii="Open Sans" w:hAnsi="Open Sans" w:cs="Open Sans"/>
        </w:rPr>
      </w:pPr>
      <w:r w:rsidRPr="002A63BA">
        <w:rPr>
          <w:rFonts w:ascii="Open Sans" w:hAnsi="Open Sans" w:cs="Open Sans"/>
        </w:rPr>
        <w:t xml:space="preserve">According to the urban master plan document (European Bank for Reconstruction and Development, 2020), land ownership and size is divided between (1) Port Authorities - 95.900 m[2], (2) Croatian Railways - 42.900 m[2], (3) the city of Split - 32.500 m[2], (4) Private property - 21.000 m[2], (5) the Republic of Croatia - 6.700 m[2]. These areas total approximately 199.000 m[2] of land space. For its transport purpose and functionality, area is divided as follows: (1) Road infrastructure - 32.500 m[2], (2) Rail infrastructure m[2] - 42.900 m[2], Port infrastructure - 95,900 </w:t>
      </w:r>
      <w:r w:rsidRPr="002A63BA">
        <w:rPr>
          <w:rFonts w:ascii="Open Sans" w:hAnsi="Open Sans" w:cs="Open Sans"/>
        </w:rPr>
        <w:lastRenderedPageBreak/>
        <w:t xml:space="preserve">m[2], (4) Remaining land infrastructure with unspecified transport purpose - 27.700 m[2]. Due to the seasonal traffic congestion, the idea of recently proposed transport guidelines is to reduce some types of transport (i.e., strategic relocation to the area of Kopilica - Split), which would eventually result in numerous positive impacts on transportation and urban sustainability in general. Besides active transport activities on the East Coast Area, a significant issue presents entrance to the different transport modes located on the land area during the summer months. Additionally, public infrastructure capacities are insufficient for the proper transport mobility performance of the local community (Institute for Development and International Relations, 2019). Currently, the observed transport system is off-balance since there are types of transport with low infrastructure resources and high transport demand (road infrastructure) while others have lower requirements and increased available infrastructure resources (rail infrastructure), causing them to be inefficient in reverse - low usage rate (European Bank for Reconstruction and Development, 2020). </w:t>
      </w:r>
    </w:p>
    <w:p w14:paraId="425DE853" w14:textId="39C74B78" w:rsidR="007C3C4B" w:rsidRPr="002A63BA" w:rsidRDefault="007C3C4B" w:rsidP="005B1A5A">
      <w:pPr>
        <w:pStyle w:val="N1"/>
      </w:pPr>
      <w:r w:rsidRPr="002A63BA">
        <w:t>System Structure and Causal Loop Development</w:t>
      </w:r>
    </w:p>
    <w:p w14:paraId="27A687BA" w14:textId="77777777" w:rsidR="007C3C4B" w:rsidRPr="002A63BA" w:rsidRDefault="007C3C4B" w:rsidP="00FF3EE4">
      <w:pPr>
        <w:spacing w:line="276" w:lineRule="auto"/>
        <w:rPr>
          <w:rFonts w:ascii="Open Sans" w:hAnsi="Open Sans" w:cs="Open Sans"/>
        </w:rPr>
      </w:pPr>
      <w:r w:rsidRPr="002A63BA">
        <w:rPr>
          <w:rFonts w:ascii="Open Sans" w:hAnsi="Open Sans" w:cs="Open Sans"/>
        </w:rPr>
        <w:t>After determining the scope of the research methodologies and setting up the theoretical basis required for the system understanding, the next step is to create a conceptual model, starting with a system assumption relation. Urban transport mobility is displayed as a relationship between transport supply and demand, continuously observed in the experimental time interval t(0) - t(n), where system stock (state) is a sum of an initial system state t(0) and accumulative state over time  ∆t(0-n):</w:t>
      </w:r>
    </w:p>
    <w:p w14:paraId="3AB1C0AA"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position w:val="-30"/>
        </w:rPr>
        <w:object w:dxaOrig="6680" w:dyaOrig="680" w14:anchorId="136C13FA">
          <v:shape id="_x0000_i1026" type="#_x0000_t75" style="width:4in;height:25.9pt" o:ole="">
            <v:imagedata r:id="rId78" o:title=""/>
          </v:shape>
          <o:OLEObject Type="Embed" ProgID="Equation.3" ShapeID="_x0000_i1026" DrawAspect="Content" ObjectID="_1723468515" r:id="rId79"/>
        </w:object>
      </w:r>
    </w:p>
    <w:p w14:paraId="50390848"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Therefore, the stock value at t(0) is not an integrated part of the ∆t(0-n) expression, but the initial time unit of the simulation flow from t(0) — not including to t(n) — encloses at the end of the simulation process. Methodologically, the reason for given form (</w:t>
      </w:r>
      <w:r w:rsidRPr="002A63BA">
        <w:rPr>
          <w:rFonts w:ascii="Open Sans" w:hAnsi="Open Sans" w:cs="Open Sans"/>
          <w:i/>
        </w:rPr>
        <w:t>and not t(1)</w:t>
      </w:r>
      <w:r w:rsidRPr="002A63BA">
        <w:rPr>
          <w:rFonts w:ascii="Open Sans" w:hAnsi="Open Sans" w:cs="Open Sans"/>
        </w:rPr>
        <w:t xml:space="preserve">) is in the </w:t>
      </w:r>
      <w:r w:rsidRPr="002A63BA">
        <w:rPr>
          <w:rFonts w:ascii="Open Sans" w:hAnsi="Open Sans" w:cs="Open Sans"/>
        </w:rPr>
        <w:lastRenderedPageBreak/>
        <w:t>characteristic of continuous simulations to describe the dynamics of real-world processes during the entire simulation process where there are no predetermined simulation time units (</w:t>
      </w:r>
      <w:r w:rsidRPr="002A63BA">
        <w:rPr>
          <w:rFonts w:ascii="Open Sans" w:hAnsi="Open Sans" w:cs="Open Sans"/>
          <w:i/>
        </w:rPr>
        <w:t>excluding start and end of simulation process – t (0) and t (n)</w:t>
      </w:r>
      <w:r w:rsidRPr="002A63BA">
        <w:rPr>
          <w:rFonts w:ascii="Open Sans" w:hAnsi="Open Sans" w:cs="Open Sans"/>
        </w:rPr>
        <w:t>). Continuous simulations track the system behavior through the duration of the simulation run, while events in sequenced time intervals (</w:t>
      </w:r>
      <w:r w:rsidRPr="002A63BA">
        <w:rPr>
          <w:rFonts w:ascii="Open Sans" w:hAnsi="Open Sans" w:cs="Open Sans"/>
          <w:i/>
        </w:rPr>
        <w:t>e.g., t(1), t(2) - t(n)</w:t>
      </w:r>
      <w:r w:rsidRPr="002A63BA">
        <w:rPr>
          <w:rFonts w:ascii="Open Sans" w:hAnsi="Open Sans" w:cs="Open Sans"/>
        </w:rPr>
        <w:t>) are features of discrete-event simulations where the system state between particular events remains stable. Transport supply represents the capacity of available transport infrastructure of the area in the time interval, while transport demand refers to the number of system 'population' (</w:t>
      </w:r>
      <w:r w:rsidRPr="002A63BA">
        <w:rPr>
          <w:rFonts w:ascii="Open Sans" w:hAnsi="Open Sans" w:cs="Open Sans"/>
          <w:i/>
        </w:rPr>
        <w:t>system entities</w:t>
      </w:r>
      <w:r w:rsidRPr="002A63BA">
        <w:rPr>
          <w:rFonts w:ascii="Open Sans" w:hAnsi="Open Sans" w:cs="Open Sans"/>
        </w:rPr>
        <w:t>) in the transportation network with identified transportation needs over the equivalent time interval. Therefore, it is possible to distinguish the two main principles of transport mobility. (1) Effectiveness - the transport service is (is not) realized regardless of assigned time interval; (2) Efficiency - the service is (is not) performed within a specified time interval, under specific conditions, optimized and cost-effective. In addition, transport infrastructure planning requires the differentiation of two terms used in this study, infrastructure performance estimation and available infrastructure capacities. Infrastructure capacity is the highest obtainable practical value of a selected infrastructure resource in a particular time unit or time interval. Infrastructure performance estimation is a potentially achievable (</w:t>
      </w:r>
      <w:r w:rsidRPr="002A63BA">
        <w:rPr>
          <w:rFonts w:ascii="Open Sans" w:hAnsi="Open Sans" w:cs="Open Sans"/>
          <w:i/>
        </w:rPr>
        <w:t>sustainable</w:t>
      </w:r>
      <w:r w:rsidRPr="002A63BA">
        <w:rPr>
          <w:rFonts w:ascii="Open Sans" w:hAnsi="Open Sans" w:cs="Open Sans"/>
        </w:rPr>
        <w:t>) value (</w:t>
      </w:r>
      <w:r w:rsidRPr="002A63BA">
        <w:rPr>
          <w:rFonts w:ascii="Open Sans" w:hAnsi="Open Sans" w:cs="Open Sans"/>
          <w:i/>
        </w:rPr>
        <w:t>benefit</w:t>
      </w:r>
      <w:r w:rsidRPr="002A63BA">
        <w:rPr>
          <w:rFonts w:ascii="Open Sans" w:hAnsi="Open Sans" w:cs="Open Sans"/>
        </w:rPr>
        <w:t xml:space="preserve">) of added infrastructure investments. The added infrastructure investments may or may not be in order to improve infrastructure capacity and reach the estimated infrastructure performance, as each unit of infrastructure resource is restricted by its diverse conditions and boundaries of the observed area (geographical, ecological, social, etc. Infrastructure investments whose capacities have reached the highest achievable infrastructure performance are often maintenance costs or similar expenses.  Additionally, the East Coast Area has a large-scale of other system variables (not solely transportation-oriented variables); therefore, it is impractical to allocate all investments into one infrastructure resource in order to achieve the highest estimated infrastructure performance, as this would imply the exclusion of all remaining transport </w:t>
      </w:r>
      <w:r w:rsidRPr="002A63BA">
        <w:rPr>
          <w:rFonts w:ascii="Open Sans" w:hAnsi="Open Sans" w:cs="Open Sans"/>
        </w:rPr>
        <w:lastRenderedPageBreak/>
        <w:t xml:space="preserve">infrastructure facilities which are in service of area mobility and other economic, environmental, and social requirements of the area.  </w:t>
      </w:r>
    </w:p>
    <w:p w14:paraId="36FF99C8"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According to available data (Tourist Board of the City of Split, 2017), tourist arrivals are a dominant factor determining a demand for transport services during the summer months, but not the only one. The population also consists of passengers and locals who utilize the available infrastructure resources for mobility services. Terminologically, a passenger who activates available infrastructure resource can be a tourist or a local individual. According to a World Tourism Organization (n.d.), a tourist is a visitor (domestic or foreign) if their visit includes an overnight stay or a one-day trip. Therefore, a tourist is a type of passenger, while tourism is a subset of travel as it refers to the individuals who move between geographical locations regardless of its purpose or duration. Furthermore, the system 'population' entity does not have to be exclusively a person but can be a vehicle or other form of motorized and non-motorized transportation. They perform differently and have different infrastructure requirements and mobility purposes. All together, they form a system population of the model expressed as follows:</w:t>
      </w:r>
    </w:p>
    <w:p w14:paraId="06BB6F84"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position w:val="-22"/>
        </w:rPr>
        <w:object w:dxaOrig="7860" w:dyaOrig="560" w14:anchorId="34471844">
          <v:shape id="_x0000_i1027" type="#_x0000_t75" style="width:372.5pt;height:24pt" o:ole="">
            <v:imagedata r:id="rId80" o:title=""/>
          </v:shape>
          <o:OLEObject Type="Embed" ProgID="Equation.3" ShapeID="_x0000_i1027" DrawAspect="Content" ObjectID="_1723468516" r:id="rId81"/>
        </w:object>
      </w:r>
    </w:p>
    <w:p w14:paraId="5FB1D6F8" w14:textId="77777777" w:rsidR="007C3C4B" w:rsidRPr="002A63BA" w:rsidRDefault="007C3C4B" w:rsidP="00FF3EE4">
      <w:pPr>
        <w:tabs>
          <w:tab w:val="left" w:pos="3075"/>
        </w:tabs>
        <w:spacing w:after="0" w:line="276" w:lineRule="auto"/>
        <w:rPr>
          <w:rFonts w:ascii="Open Sans" w:hAnsi="Open Sans" w:cs="Open Sans"/>
        </w:rPr>
      </w:pPr>
      <w:r w:rsidRPr="002A63BA">
        <w:rPr>
          <w:rFonts w:ascii="Open Sans" w:hAnsi="Open Sans" w:cs="Open Sans"/>
        </w:rPr>
        <w:t xml:space="preserve">In theory, economic development influences transport demand and attracts more population migrations (Wang, Lu, Peng, 2008). The urban population migrations also reflect on tourist arrivals (Griffin, Dimanche, 2017), which causes an increase in demand for transport services, creating additional pressure on transport supply — infrastructure capacity. If the local authorities (government) can't respond to the transport demand requirements by suppling enough transport infrastructure resources, that could lower urban transport mobility and discourage additional economic activities. Considering that economic development positively correlates with population migrations in the long run (including vehicle-owning policies) and a decrease of urban mobility performance negatively affects economic growth, possible consequences could lead to a system population loss over time. Hypothetically speaking, </w:t>
      </w:r>
      <w:r w:rsidRPr="002A63BA">
        <w:rPr>
          <w:rFonts w:ascii="Open Sans" w:hAnsi="Open Sans" w:cs="Open Sans"/>
        </w:rPr>
        <w:lastRenderedPageBreak/>
        <w:t>a causal relation between urban mobility effectiveness and economic development is positive because the growth of one variable on average causes the increase of another and vice versa. However, an increase in transport demand also brings up some undesirable consequences that are negatively causal with economic development, such as ecological and social issues. In other words, if the population growth causes an increase in traffic demand, then, consequently, negatively affects the congestion on the land area – insufficient infrastructure capacity contributes to gas emissions growth (air pollution) in transport, noise increase, etc (Suryani et al., 2022).</w:t>
      </w:r>
    </w:p>
    <w:p w14:paraId="4490D4E4" w14:textId="77777777" w:rsidR="007C3C4B" w:rsidRPr="002A63BA" w:rsidRDefault="007C3C4B" w:rsidP="005B1A5A">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7F96D9D5" wp14:editId="6E671406">
            <wp:extent cx="3127911" cy="2167086"/>
            <wp:effectExtent l="0" t="0" r="0" b="5080"/>
            <wp:docPr id="3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2" cstate="screen">
                      <a:extLst>
                        <a:ext uri="{28A0092B-C50C-407E-A947-70E740481C1C}">
                          <a14:useLocalDpi xmlns:a14="http://schemas.microsoft.com/office/drawing/2010/main"/>
                        </a:ext>
                      </a:extLst>
                    </a:blip>
                    <a:srcRect/>
                    <a:stretch>
                      <a:fillRect/>
                    </a:stretch>
                  </pic:blipFill>
                  <pic:spPr bwMode="auto">
                    <a:xfrm>
                      <a:off x="0" y="0"/>
                      <a:ext cx="3149432" cy="2181996"/>
                    </a:xfrm>
                    <a:prstGeom prst="rect">
                      <a:avLst/>
                    </a:prstGeom>
                    <a:noFill/>
                    <a:ln w="9525">
                      <a:noFill/>
                      <a:miter lim="800000"/>
                      <a:headEnd/>
                      <a:tailEnd/>
                    </a:ln>
                  </pic:spPr>
                </pic:pic>
              </a:graphicData>
            </a:graphic>
          </wp:inline>
        </w:drawing>
      </w:r>
    </w:p>
    <w:p w14:paraId="0343FEC8"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4. </w:t>
      </w:r>
      <w:r w:rsidRPr="002A63BA">
        <w:rPr>
          <w:rFonts w:ascii="Open Sans" w:hAnsi="Open Sans" w:cs="Open Sans"/>
          <w:i/>
        </w:rPr>
        <w:t>Introductory causal loop diagram of a transport system relations</w:t>
      </w:r>
      <w:r w:rsidRPr="002A63BA">
        <w:rPr>
          <w:rFonts w:ascii="Open Sans" w:hAnsi="Open Sans" w:cs="Open Sans"/>
          <w:iCs/>
        </w:rPr>
        <w:t xml:space="preserve"> (Author's work)</w:t>
      </w:r>
    </w:p>
    <w:p w14:paraId="6291EADD" w14:textId="77777777" w:rsidR="007C3C4B" w:rsidRPr="002A63BA" w:rsidRDefault="007C3C4B" w:rsidP="00FF3EE4">
      <w:pPr>
        <w:tabs>
          <w:tab w:val="left" w:pos="3075"/>
        </w:tabs>
        <w:spacing w:after="0" w:line="276" w:lineRule="auto"/>
        <w:rPr>
          <w:rFonts w:ascii="Open Sans" w:hAnsi="Open Sans" w:cs="Open Sans"/>
        </w:rPr>
      </w:pPr>
      <w:r w:rsidRPr="002A63BA">
        <w:rPr>
          <w:rFonts w:ascii="Open Sans" w:hAnsi="Open Sans" w:cs="Open Sans"/>
        </w:rPr>
        <w:t xml:space="preserve">Furthermore, due to the advantages and disadvantages of higher transport demand, the accumulated state of system stock affects the economy, illustrated as a gross domestic product (GDP) in the conceptual model (Figure 5.), whose rates determine added transport infrastructure investments. The higher GDP rates are, the more added investments there will be (Wang et al., 2018). By default, added transport infrastructure investments enhance transport effectiveness and efficiency (i.e., decreasing time delays in the system, achieving more system entrances, reducing infrastructure occupation and mobility dropdown rates, etc.). Additionally, as urban mobility policies include a variety of sustainable development aspects (i.e., ecological challenges), </w:t>
      </w:r>
      <w:r w:rsidRPr="002A63BA">
        <w:rPr>
          <w:rFonts w:ascii="Open Sans" w:hAnsi="Open Sans" w:cs="Open Sans"/>
        </w:rPr>
        <w:lastRenderedPageBreak/>
        <w:t>added infrastructure investments should also stimulate investments in a public (sustainable) infrastructure and correspondingly reduce the possibility for unwanted outcomes due to the higher transport demand. The rearrangement of private transport infrastructure and rethinking implementation of public forms of transportation contributes significantly to pollution reduction and helps reduce traffic congestion (Titos et al., 2015; Xue et al., 2020).</w:t>
      </w:r>
    </w:p>
    <w:p w14:paraId="12EC0093"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14F9888A" wp14:editId="7931E42D">
            <wp:extent cx="4091478" cy="2553195"/>
            <wp:effectExtent l="0" t="0" r="4445" b="0"/>
            <wp:docPr id="3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3" cstate="screen">
                      <a:extLst>
                        <a:ext uri="{28A0092B-C50C-407E-A947-70E740481C1C}">
                          <a14:useLocalDpi xmlns:a14="http://schemas.microsoft.com/office/drawing/2010/main"/>
                        </a:ext>
                      </a:extLst>
                    </a:blip>
                    <a:srcRect/>
                    <a:stretch>
                      <a:fillRect/>
                    </a:stretch>
                  </pic:blipFill>
                  <pic:spPr bwMode="auto">
                    <a:xfrm>
                      <a:off x="0" y="0"/>
                      <a:ext cx="4100433" cy="2558783"/>
                    </a:xfrm>
                    <a:prstGeom prst="rect">
                      <a:avLst/>
                    </a:prstGeom>
                    <a:noFill/>
                    <a:ln w="9525">
                      <a:noFill/>
                      <a:miter lim="800000"/>
                      <a:headEnd/>
                      <a:tailEnd/>
                    </a:ln>
                  </pic:spPr>
                </pic:pic>
              </a:graphicData>
            </a:graphic>
          </wp:inline>
        </w:drawing>
      </w:r>
    </w:p>
    <w:p w14:paraId="02DEBB2F"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5. </w:t>
      </w:r>
      <w:r w:rsidRPr="002A63BA">
        <w:rPr>
          <w:rFonts w:ascii="Open Sans" w:hAnsi="Open Sans" w:cs="Open Sans"/>
          <w:i/>
        </w:rPr>
        <w:t>The first extension of a causal loop model of a transport system</w:t>
      </w:r>
      <w:r w:rsidRPr="002A63BA">
        <w:rPr>
          <w:rFonts w:ascii="Open Sans" w:hAnsi="Open Sans" w:cs="Open Sans"/>
          <w:iCs/>
        </w:rPr>
        <w:t xml:space="preserve"> (Author's work)</w:t>
      </w:r>
    </w:p>
    <w:p w14:paraId="35BF9AE5" w14:textId="77777777" w:rsidR="007C3C4B" w:rsidRPr="002A63BA" w:rsidRDefault="007C3C4B" w:rsidP="00FF3EE4">
      <w:pPr>
        <w:tabs>
          <w:tab w:val="left" w:pos="3075"/>
        </w:tabs>
        <w:spacing w:line="276" w:lineRule="auto"/>
        <w:rPr>
          <w:rFonts w:ascii="Open Sans" w:hAnsi="Open Sans" w:cs="Open Sans"/>
        </w:rPr>
      </w:pPr>
      <w:r w:rsidRPr="002A63BA">
        <w:rPr>
          <w:rFonts w:ascii="Open Sans" w:hAnsi="Open Sans" w:cs="Open Sans"/>
        </w:rPr>
        <w:t xml:space="preserve">Figure 5 presents the first extension of a conceptual model. In short, the system population increases the transport demand where one registered entity arrival can occupy one or more transport infrastructure resources (capacities). The higher transport demand is, the more pressure on infrastructure capacities will deliver, consequently lowering available infrastructure capacities over time. Upon infrastructure capacity occupation, system individual (entity) generates: (1) Positive effects such as revenues from transport services within the area (returns are not necessarily financially oriented - these can include a variety of desirable short-term or long-term effects on the sustainable development achieved by economic and transport activities); (2) Negative effects such as increased gas emissions for motorized vehicles, waste generation, traffic </w:t>
      </w:r>
      <w:r w:rsidRPr="002A63BA">
        <w:rPr>
          <w:rFonts w:ascii="Open Sans" w:hAnsi="Open Sans" w:cs="Open Sans"/>
        </w:rPr>
        <w:lastRenderedPageBreak/>
        <w:t xml:space="preserve">noise, etc. The accumulated change in time reflects on the GDP stock balance used as an economic state indicator to perform added infrastructure investments, prioritizing sustainable alternatives in the transport system. Furthermore, the GDP balance change also operates as an economic indicator for evaluating the tendency of the vehicles policies in the transport system as well as other system variables in follow-up such as population migrations, tourist arrivals, etc. Therefore, both system population and infrastructure capacities are affected by the economic oscillation in a model, leaving local authorities and analysts to determine guidelines for managing urban mobility as a relationship between supply and demand for transport services, also considering infrastructural boundaries of the area and urban sustainability goals. </w:t>
      </w:r>
    </w:p>
    <w:p w14:paraId="12A60C1A" w14:textId="77777777" w:rsidR="007C3C4B" w:rsidRPr="002A63BA" w:rsidRDefault="007C3C4B" w:rsidP="00FF3EE4">
      <w:pPr>
        <w:tabs>
          <w:tab w:val="left" w:pos="3075"/>
        </w:tabs>
        <w:spacing w:line="276" w:lineRule="auto"/>
        <w:jc w:val="center"/>
        <w:rPr>
          <w:rFonts w:ascii="Open Sans" w:hAnsi="Open Sans" w:cs="Open Sans"/>
          <w:b/>
        </w:rPr>
      </w:pPr>
      <w:r w:rsidRPr="002A63BA">
        <w:rPr>
          <w:rFonts w:ascii="Open Sans" w:hAnsi="Open Sans" w:cs="Open Sans"/>
          <w:b/>
          <w:noProof/>
          <w:lang w:eastAsia="hr-HR"/>
        </w:rPr>
        <w:drawing>
          <wp:inline distT="0" distB="0" distL="0" distR="0" wp14:anchorId="13C1DA10" wp14:editId="0ED754A8">
            <wp:extent cx="4699599" cy="1622998"/>
            <wp:effectExtent l="19050" t="0" r="5751" b="0"/>
            <wp:docPr id="40" name="Picture 7" descr="Fig.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6.jpg"/>
                    <pic:cNvPicPr/>
                  </pic:nvPicPr>
                  <pic:blipFill>
                    <a:blip r:embed="rId84" cstate="screen">
                      <a:extLst>
                        <a:ext uri="{28A0092B-C50C-407E-A947-70E740481C1C}">
                          <a14:useLocalDpi xmlns:a14="http://schemas.microsoft.com/office/drawing/2010/main"/>
                        </a:ext>
                      </a:extLst>
                    </a:blip>
                    <a:stretch>
                      <a:fillRect/>
                    </a:stretch>
                  </pic:blipFill>
                  <pic:spPr>
                    <a:xfrm>
                      <a:off x="0" y="0"/>
                      <a:ext cx="4712507" cy="1627456"/>
                    </a:xfrm>
                    <a:prstGeom prst="rect">
                      <a:avLst/>
                    </a:prstGeom>
                  </pic:spPr>
                </pic:pic>
              </a:graphicData>
            </a:graphic>
          </wp:inline>
        </w:drawing>
      </w:r>
    </w:p>
    <w:p w14:paraId="072B01D0"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6. </w:t>
      </w:r>
      <w:r w:rsidRPr="002A63BA">
        <w:rPr>
          <w:rFonts w:ascii="Open Sans" w:hAnsi="Open Sans" w:cs="Open Sans"/>
          <w:i/>
        </w:rPr>
        <w:t xml:space="preserve">Transport system factors </w:t>
      </w:r>
      <w:r w:rsidRPr="002A63BA">
        <w:rPr>
          <w:rFonts w:ascii="Open Sans" w:hAnsi="Open Sans" w:cs="Open Sans"/>
          <w:iCs/>
        </w:rPr>
        <w:t xml:space="preserve">(Author's drawing based on </w:t>
      </w:r>
      <w:r w:rsidRPr="002A63BA">
        <w:rPr>
          <w:rFonts w:ascii="Open Sans" w:hAnsi="Open Sans" w:cs="Open Sans"/>
        </w:rPr>
        <w:t>Haghshenas, Vaziri, Gholamialam, 2015; Haraldsson, 2004</w:t>
      </w:r>
      <w:r w:rsidRPr="002A63BA">
        <w:rPr>
          <w:rFonts w:ascii="Open Sans" w:hAnsi="Open Sans" w:cs="Open Sans"/>
          <w:iCs/>
        </w:rPr>
        <w:t>)</w:t>
      </w:r>
    </w:p>
    <w:p w14:paraId="17F13D2A" w14:textId="77777777" w:rsidR="007C3C4B" w:rsidRPr="002A63BA" w:rsidRDefault="007C3C4B" w:rsidP="00FF3EE4">
      <w:pPr>
        <w:spacing w:line="276" w:lineRule="auto"/>
        <w:rPr>
          <w:rFonts w:ascii="Open Sans" w:hAnsi="Open Sans" w:cs="Open Sans"/>
        </w:rPr>
      </w:pPr>
      <w:r w:rsidRPr="002A63BA">
        <w:rPr>
          <w:rFonts w:ascii="Open Sans" w:hAnsi="Open Sans" w:cs="Open Sans"/>
        </w:rPr>
        <w:t>Shen et al. (2018) suggested it is more suitable to work with transport supply (infrastructure capacities) in operating transport performance by analyzing impacts of transport infrastructure investments and evaluating infrastructure capacities. In order to experiment with infrastructure capacities and estimate its potential, Nguyen, Cook, and Ireland (2017) defined transport congestion (</w:t>
      </w:r>
      <w:r w:rsidRPr="002A63BA">
        <w:rPr>
          <w:rStyle w:val="Istaknuto"/>
          <w:rFonts w:ascii="Open Sans" w:hAnsi="Open Sans" w:cs="Open Sans"/>
          <w:color w:val="0E101A"/>
        </w:rPr>
        <w:t>system overload</w:t>
      </w:r>
      <w:r w:rsidRPr="002A63BA">
        <w:rPr>
          <w:rFonts w:ascii="Open Sans" w:hAnsi="Open Sans" w:cs="Open Sans"/>
        </w:rPr>
        <w:t>) in time unit (t) as:</w:t>
      </w:r>
    </w:p>
    <w:p w14:paraId="1CC43B5E"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position w:val="-30"/>
        </w:rPr>
        <w:object w:dxaOrig="6680" w:dyaOrig="680" w14:anchorId="267AB641">
          <v:shape id="_x0000_i1028" type="#_x0000_t75" style="width:296.65pt;height:26.9pt" o:ole="">
            <v:imagedata r:id="rId85" o:title=""/>
          </v:shape>
          <o:OLEObject Type="Embed" ProgID="Equation.3" ShapeID="_x0000_i1028" DrawAspect="Content" ObjectID="_1723468517" r:id="rId86"/>
        </w:object>
      </w:r>
    </w:p>
    <w:p w14:paraId="2F264716" w14:textId="77777777" w:rsidR="007C3C4B" w:rsidRPr="002A63BA" w:rsidRDefault="007C3C4B" w:rsidP="00FF3EE4">
      <w:pPr>
        <w:spacing w:before="240" w:line="276" w:lineRule="auto"/>
        <w:rPr>
          <w:rFonts w:ascii="Open Sans" w:hAnsi="Open Sans" w:cs="Open Sans"/>
        </w:rPr>
      </w:pPr>
      <w:r w:rsidRPr="002A63BA">
        <w:rPr>
          <w:rFonts w:ascii="Open Sans" w:hAnsi="Open Sans" w:cs="Open Sans"/>
        </w:rPr>
        <w:t xml:space="preserve">where: (1) </w:t>
      </w:r>
      <w:r w:rsidRPr="002A63BA">
        <w:rPr>
          <w:rFonts w:ascii="Open Sans" w:hAnsi="Open Sans" w:cs="Open Sans"/>
          <w:b/>
        </w:rPr>
        <w:t>Active system entities(t)</w:t>
      </w:r>
      <w:r w:rsidRPr="002A63BA">
        <w:rPr>
          <w:rFonts w:ascii="Open Sans" w:hAnsi="Open Sans" w:cs="Open Sans"/>
        </w:rPr>
        <w:t xml:space="preserve"> - amount of actual transport demand (</w:t>
      </w:r>
      <w:r w:rsidRPr="002A63BA">
        <w:rPr>
          <w:rFonts w:ascii="Open Sans" w:hAnsi="Open Sans" w:cs="Open Sans"/>
          <w:i/>
        </w:rPr>
        <w:t>system population</w:t>
      </w:r>
      <w:r w:rsidRPr="002A63BA">
        <w:rPr>
          <w:rFonts w:ascii="Open Sans" w:hAnsi="Open Sans" w:cs="Open Sans"/>
        </w:rPr>
        <w:t xml:space="preserve">) in time unit (t); (2)  </w:t>
      </w:r>
      <w:r w:rsidRPr="002A63BA">
        <w:rPr>
          <w:rFonts w:ascii="Open Sans" w:hAnsi="Open Sans" w:cs="Open Sans"/>
          <w:b/>
        </w:rPr>
        <w:t xml:space="preserve">Transport infrastructure </w:t>
      </w:r>
      <w:r w:rsidRPr="002A63BA">
        <w:rPr>
          <w:rFonts w:ascii="Open Sans" w:hAnsi="Open Sans" w:cs="Open Sans"/>
          <w:b/>
        </w:rPr>
        <w:lastRenderedPageBreak/>
        <w:t>capacity(t)</w:t>
      </w:r>
      <w:r w:rsidRPr="002A63BA">
        <w:rPr>
          <w:rFonts w:ascii="Open Sans" w:hAnsi="Open Sans" w:cs="Open Sans"/>
        </w:rPr>
        <w:t xml:space="preserve"> - available transport infrastructure capacities in equivalent time unit (t). Bernardino and van der Hoofd (2013) extended the earlier equation by adding dynamic value and describing transport congestion as a relation between aggregate transport (</w:t>
      </w:r>
      <w:r w:rsidRPr="002A63BA">
        <w:rPr>
          <w:rFonts w:ascii="Open Sans" w:hAnsi="Open Sans" w:cs="Open Sans"/>
          <w:i/>
        </w:rPr>
        <w:t>system</w:t>
      </w:r>
      <w:r w:rsidRPr="002A63BA">
        <w:rPr>
          <w:rFonts w:ascii="Open Sans" w:hAnsi="Open Sans" w:cs="Open Sans"/>
        </w:rPr>
        <w:t>) flow and average population (</w:t>
      </w:r>
      <w:r w:rsidRPr="002A63BA">
        <w:rPr>
          <w:rFonts w:ascii="Open Sans" w:hAnsi="Open Sans" w:cs="Open Sans"/>
          <w:i/>
        </w:rPr>
        <w:t>entity</w:t>
      </w:r>
      <w:r w:rsidRPr="002A63BA">
        <w:rPr>
          <w:rFonts w:ascii="Open Sans" w:hAnsi="Open Sans" w:cs="Open Sans"/>
        </w:rPr>
        <w:t>) speed:</w:t>
      </w:r>
    </w:p>
    <w:p w14:paraId="6A81EAD6" w14:textId="77777777" w:rsidR="007C3C4B" w:rsidRPr="002A63BA" w:rsidRDefault="007C3C4B" w:rsidP="00FF3EE4">
      <w:pPr>
        <w:spacing w:before="240" w:line="276" w:lineRule="auto"/>
        <w:jc w:val="center"/>
        <w:rPr>
          <w:rFonts w:ascii="Open Sans" w:hAnsi="Open Sans" w:cs="Open Sans"/>
        </w:rPr>
      </w:pPr>
      <w:r w:rsidRPr="002A63BA">
        <w:rPr>
          <w:rFonts w:ascii="Open Sans" w:hAnsi="Open Sans" w:cs="Open Sans"/>
          <w:position w:val="-60"/>
        </w:rPr>
        <w:object w:dxaOrig="2200" w:dyaOrig="980" w14:anchorId="4CAEB560">
          <v:shape id="_x0000_i1029" type="#_x0000_t75" style="width:90.25pt;height:39.35pt" o:ole="">
            <v:imagedata r:id="rId87" o:title=""/>
          </v:shape>
          <o:OLEObject Type="Embed" ProgID="Equation.3" ShapeID="_x0000_i1029" DrawAspect="Content" ObjectID="_1723468518" r:id="rId88"/>
        </w:object>
      </w:r>
    </w:p>
    <w:p w14:paraId="151AF766" w14:textId="77777777" w:rsidR="007C3C4B" w:rsidRPr="002A63BA" w:rsidRDefault="007C3C4B" w:rsidP="00FF3EE4">
      <w:pPr>
        <w:spacing w:before="240" w:line="276" w:lineRule="auto"/>
        <w:rPr>
          <w:rFonts w:ascii="Open Sans" w:hAnsi="Open Sans" w:cs="Open Sans"/>
        </w:rPr>
      </w:pPr>
      <w:r w:rsidRPr="002A63BA">
        <w:rPr>
          <w:rFonts w:ascii="Open Sans" w:hAnsi="Open Sans" w:cs="Open Sans"/>
        </w:rPr>
        <w:t xml:space="preserve">where: (1) </w:t>
      </w:r>
      <w:r w:rsidRPr="002A63BA">
        <w:rPr>
          <w:rFonts w:ascii="Open Sans" w:hAnsi="Open Sans" w:cs="Open Sans"/>
          <w:b/>
        </w:rPr>
        <w:t>s</w:t>
      </w:r>
      <w:r w:rsidRPr="002A63BA">
        <w:rPr>
          <w:rFonts w:ascii="Open Sans" w:hAnsi="Open Sans" w:cs="Open Sans"/>
        </w:rPr>
        <w:t xml:space="preserve"> – average entity speed in the transport system; (2) </w:t>
      </w:r>
      <w:r w:rsidRPr="002A63BA">
        <w:rPr>
          <w:rFonts w:ascii="Open Sans" w:hAnsi="Open Sans" w:cs="Open Sans"/>
          <w:b/>
        </w:rPr>
        <w:t>s(0)</w:t>
      </w:r>
      <w:r w:rsidRPr="002A63BA">
        <w:rPr>
          <w:rFonts w:ascii="Open Sans" w:hAnsi="Open Sans" w:cs="Open Sans"/>
        </w:rPr>
        <w:t xml:space="preserve"> – average free flow speed in the transport system; (3) </w:t>
      </w:r>
      <w:r w:rsidRPr="002A63BA">
        <w:rPr>
          <w:rFonts w:ascii="Open Sans" w:hAnsi="Open Sans" w:cs="Open Sans"/>
          <w:b/>
        </w:rPr>
        <w:t xml:space="preserve">Q(a) </w:t>
      </w:r>
      <w:r w:rsidRPr="002A63BA">
        <w:rPr>
          <w:rFonts w:ascii="Open Sans" w:hAnsi="Open Sans" w:cs="Open Sans"/>
        </w:rPr>
        <w:t xml:space="preserve">– average traffic flow (entities/day); (4) </w:t>
      </w:r>
      <w:r w:rsidRPr="002A63BA">
        <w:rPr>
          <w:rFonts w:ascii="Open Sans" w:hAnsi="Open Sans" w:cs="Open Sans"/>
          <w:b/>
        </w:rPr>
        <w:t>C(b)</w:t>
      </w:r>
      <w:r w:rsidRPr="002A63BA">
        <w:rPr>
          <w:rFonts w:ascii="Open Sans" w:hAnsi="Open Sans" w:cs="Open Sans"/>
        </w:rPr>
        <w:t xml:space="preserve"> – aggregate infrastructure capacity parameter; (5) </w:t>
      </w:r>
      <w:r w:rsidRPr="002A63BA">
        <w:rPr>
          <w:rFonts w:ascii="Open Sans" w:hAnsi="Open Sans" w:cs="Open Sans"/>
          <w:b/>
        </w:rPr>
        <w:t>α, β</w:t>
      </w:r>
      <w:r w:rsidRPr="002A63BA">
        <w:rPr>
          <w:rFonts w:ascii="Open Sans" w:hAnsi="Open Sans" w:cs="Open Sans"/>
        </w:rPr>
        <w:t xml:space="preserve"> – model calibration parameters. In order to estimate available transport infrastructure capacities, Ojha et al. (2018) formed qualitative and quantitative model representation using road infrastructure capacities as a research topic. The model includes various road infrastructure factors that directly affect available infrastructure capacities such as (1) Connectivity Issues (</w:t>
      </w:r>
      <w:r w:rsidRPr="002A63BA">
        <w:rPr>
          <w:rFonts w:ascii="Open Sans" w:hAnsi="Open Sans" w:cs="Open Sans"/>
          <w:b/>
        </w:rPr>
        <w:t>Tci</w:t>
      </w:r>
      <w:r w:rsidRPr="002A63BA">
        <w:rPr>
          <w:rFonts w:ascii="Open Sans" w:hAnsi="Open Sans" w:cs="Open Sans"/>
        </w:rPr>
        <w:t>) – infrastructure capacity loss due to the connectivity issues caused by external and internal system factors; (2) Infrastructure Maintenance (</w:t>
      </w:r>
      <w:r w:rsidRPr="002A63BA">
        <w:rPr>
          <w:rFonts w:ascii="Open Sans" w:hAnsi="Open Sans" w:cs="Open Sans"/>
          <w:b/>
        </w:rPr>
        <w:t>Tim</w:t>
      </w:r>
      <w:r w:rsidRPr="002A63BA">
        <w:rPr>
          <w:rFonts w:ascii="Open Sans" w:hAnsi="Open Sans" w:cs="Open Sans"/>
        </w:rPr>
        <w:t>) – short-term temporary infrastructure capacity loss due to the ongoing maintenance; (3) Traffic Jams (</w:t>
      </w:r>
      <w:r w:rsidRPr="002A63BA">
        <w:rPr>
          <w:rFonts w:ascii="Open Sans" w:hAnsi="Open Sans" w:cs="Open Sans"/>
          <w:b/>
        </w:rPr>
        <w:t>Tpz</w:t>
      </w:r>
      <w:r w:rsidRPr="002A63BA">
        <w:rPr>
          <w:rFonts w:ascii="Open Sans" w:hAnsi="Open Sans" w:cs="Open Sans"/>
        </w:rPr>
        <w:t>) – temporary infrastructure capacity loss due to the transport congestion (system overload) or traffic accidents; (4) Infrastructure Construction (</w:t>
      </w:r>
      <w:r w:rsidRPr="002A63BA">
        <w:rPr>
          <w:rFonts w:ascii="Open Sans" w:hAnsi="Open Sans" w:cs="Open Sans"/>
          <w:b/>
        </w:rPr>
        <w:t>Tgp</w:t>
      </w:r>
      <w:r w:rsidRPr="002A63BA">
        <w:rPr>
          <w:rFonts w:ascii="Open Sans" w:hAnsi="Open Sans" w:cs="Open Sans"/>
        </w:rPr>
        <w:t>) – permanently or temporary infrastructure capacity loss with potentially long-term duration due to the infrastructure investments/projects or infrastructure conversion into other facilities; (5) Infrastructure for Special and Emergency Causes and Transport Modes (</w:t>
      </w:r>
      <w:r w:rsidRPr="002A63BA">
        <w:rPr>
          <w:rFonts w:ascii="Open Sans" w:hAnsi="Open Sans" w:cs="Open Sans"/>
          <w:b/>
        </w:rPr>
        <w:t>Tpop</w:t>
      </w:r>
      <w:r w:rsidRPr="002A63BA">
        <w:rPr>
          <w:rFonts w:ascii="Open Sans" w:hAnsi="Open Sans" w:cs="Open Sans"/>
        </w:rPr>
        <w:t xml:space="preserve">) – permanently infrastructure capacity loss due to the specific requirements or other transport mobility purposes that are not directly linked to the traffic-related services. </w:t>
      </w:r>
    </w:p>
    <w:p w14:paraId="4691CDDC" w14:textId="77777777" w:rsidR="007C3C4B" w:rsidRPr="002A63BA" w:rsidRDefault="007C3C4B" w:rsidP="00FF3EE4">
      <w:pPr>
        <w:spacing w:after="0" w:line="276" w:lineRule="auto"/>
        <w:jc w:val="center"/>
        <w:rPr>
          <w:rFonts w:ascii="Open Sans" w:hAnsi="Open Sans" w:cs="Open Sans"/>
        </w:rPr>
      </w:pPr>
      <w:r w:rsidRPr="002A63BA">
        <w:rPr>
          <w:rFonts w:ascii="Open Sans" w:hAnsi="Open Sans" w:cs="Open Sans"/>
          <w:noProof/>
          <w:lang w:eastAsia="hr-HR"/>
        </w:rPr>
        <w:lastRenderedPageBreak/>
        <w:drawing>
          <wp:inline distT="0" distB="0" distL="0" distR="0" wp14:anchorId="75D77763" wp14:editId="660C004E">
            <wp:extent cx="5172075" cy="1671574"/>
            <wp:effectExtent l="19050" t="0" r="9525" b="0"/>
            <wp:docPr id="41" name="Picture 8" descr="Fig.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8.jpg"/>
                    <pic:cNvPicPr/>
                  </pic:nvPicPr>
                  <pic:blipFill>
                    <a:blip r:embed="rId89" cstate="screen">
                      <a:extLst>
                        <a:ext uri="{28A0092B-C50C-407E-A947-70E740481C1C}">
                          <a14:useLocalDpi xmlns:a14="http://schemas.microsoft.com/office/drawing/2010/main"/>
                        </a:ext>
                      </a:extLst>
                    </a:blip>
                    <a:stretch>
                      <a:fillRect/>
                    </a:stretch>
                  </pic:blipFill>
                  <pic:spPr>
                    <a:xfrm>
                      <a:off x="0" y="0"/>
                      <a:ext cx="5184452" cy="1675574"/>
                    </a:xfrm>
                    <a:prstGeom prst="rect">
                      <a:avLst/>
                    </a:prstGeom>
                  </pic:spPr>
                </pic:pic>
              </a:graphicData>
            </a:graphic>
          </wp:inline>
        </w:drawing>
      </w:r>
    </w:p>
    <w:p w14:paraId="6293478A" w14:textId="77777777" w:rsidR="007C3C4B" w:rsidRPr="002A63BA" w:rsidRDefault="007C3C4B" w:rsidP="00FF3EE4">
      <w:pPr>
        <w:tabs>
          <w:tab w:val="left" w:pos="3075"/>
        </w:tabs>
        <w:spacing w:line="276" w:lineRule="auto"/>
        <w:rPr>
          <w:rFonts w:ascii="Open Sans" w:hAnsi="Open Sans" w:cs="Open Sans"/>
          <w:iCs/>
        </w:rPr>
      </w:pPr>
      <w:r w:rsidRPr="002A63BA">
        <w:rPr>
          <w:rFonts w:ascii="Open Sans" w:hAnsi="Open Sans" w:cs="Open Sans"/>
          <w:iCs/>
        </w:rPr>
        <w:t xml:space="preserve">Figure 7. </w:t>
      </w:r>
      <w:r w:rsidRPr="002A63BA">
        <w:rPr>
          <w:rFonts w:ascii="Open Sans" w:hAnsi="Open Sans" w:cs="Open Sans"/>
          <w:i/>
        </w:rPr>
        <w:t xml:space="preserve">Road (public) infrastructure capacities estimation </w:t>
      </w:r>
      <w:r w:rsidRPr="002A63BA">
        <w:rPr>
          <w:rFonts w:ascii="Open Sans" w:hAnsi="Open Sans" w:cs="Open Sans"/>
          <w:iCs/>
        </w:rPr>
        <w:t>(Author's drawing based on Ojha et al., 2018)</w:t>
      </w:r>
    </w:p>
    <w:p w14:paraId="472C5213" w14:textId="77777777" w:rsidR="007C3C4B" w:rsidRPr="002A63BA" w:rsidRDefault="007C3C4B" w:rsidP="00FF3EE4">
      <w:pPr>
        <w:spacing w:line="276" w:lineRule="auto"/>
        <w:rPr>
          <w:rFonts w:ascii="Open Sans" w:hAnsi="Open Sans" w:cs="Open Sans"/>
        </w:rPr>
      </w:pPr>
      <w:r w:rsidRPr="002A63BA">
        <w:rPr>
          <w:rFonts w:ascii="Open Sans" w:hAnsi="Open Sans" w:cs="Open Sans"/>
        </w:rPr>
        <w:t>Another type of infrastructure loss includes 'spatial' loss due to security distance (</w:t>
      </w:r>
      <w:r w:rsidRPr="002A63BA">
        <w:rPr>
          <w:rFonts w:ascii="Open Sans" w:hAnsi="Open Sans" w:cs="Open Sans"/>
          <w:b/>
        </w:rPr>
        <w:t>Tsu</w:t>
      </w:r>
      <w:r w:rsidRPr="002A63BA">
        <w:rPr>
          <w:rFonts w:ascii="Open Sans" w:hAnsi="Open Sans" w:cs="Open Sans"/>
        </w:rPr>
        <w:t>) estimation between entities or system boundaries that equals the minimum estimated percentage needed for a security distance between the system population in traffic.</w:t>
      </w:r>
    </w:p>
    <w:p w14:paraId="0A556DAF" w14:textId="77777777" w:rsidR="007C3C4B" w:rsidRPr="002A63BA" w:rsidRDefault="007C3C4B" w:rsidP="00FF3EE4">
      <w:pPr>
        <w:spacing w:line="276" w:lineRule="auto"/>
        <w:rPr>
          <w:rFonts w:ascii="Open Sans" w:hAnsi="Open Sans" w:cs="Open Sans"/>
        </w:rPr>
      </w:pPr>
      <w:r w:rsidRPr="002A63BA">
        <w:rPr>
          <w:rFonts w:ascii="Open Sans" w:hAnsi="Open Sans" w:cs="Open Sans"/>
        </w:rPr>
        <w:t>The aggregate of the permanently lost, temporarily closed, and security distanced infrastructure represent total infrastructure capacity loss (</w:t>
      </w:r>
      <w:r w:rsidRPr="002A63BA">
        <w:rPr>
          <w:rFonts w:ascii="Open Sans" w:hAnsi="Open Sans" w:cs="Open Sans"/>
          <w:b/>
        </w:rPr>
        <w:t>Tuk</w:t>
      </w:r>
      <w:r w:rsidRPr="002A63BA">
        <w:rPr>
          <w:rFonts w:ascii="Open Sans" w:hAnsi="Open Sans" w:cs="Open Sans"/>
        </w:rPr>
        <w:t xml:space="preserve"> = </w:t>
      </w:r>
      <w:r w:rsidRPr="002A63BA">
        <w:rPr>
          <w:rFonts w:ascii="Open Sans" w:hAnsi="Open Sans" w:cs="Open Sans"/>
          <w:i/>
        </w:rPr>
        <w:t>Tci + Tim + Tpz + Tgp + Tpop + Tsu</w:t>
      </w:r>
      <w:r w:rsidRPr="002A63BA">
        <w:rPr>
          <w:rFonts w:ascii="Open Sans" w:hAnsi="Open Sans" w:cs="Open Sans"/>
        </w:rPr>
        <w:t>).</w:t>
      </w:r>
    </w:p>
    <w:p w14:paraId="0A5D90B2" w14:textId="77777777" w:rsidR="007C3C4B" w:rsidRPr="002A63BA" w:rsidRDefault="007C3C4B" w:rsidP="00FF3EE4">
      <w:pPr>
        <w:spacing w:line="276" w:lineRule="auto"/>
        <w:rPr>
          <w:rFonts w:ascii="Open Sans" w:hAnsi="Open Sans" w:cs="Open Sans"/>
        </w:rPr>
      </w:pPr>
      <w:r w:rsidRPr="002A63BA">
        <w:rPr>
          <w:rFonts w:ascii="Open Sans" w:hAnsi="Open Sans" w:cs="Open Sans"/>
        </w:rPr>
        <w:t>Finally, </w:t>
      </w:r>
      <w:r w:rsidRPr="002A63BA">
        <w:rPr>
          <w:rStyle w:val="Naglaeno"/>
          <w:rFonts w:ascii="Open Sans" w:hAnsi="Open Sans" w:cs="Open Sans"/>
          <w:color w:val="0E101A"/>
        </w:rPr>
        <w:t>the available</w:t>
      </w:r>
      <w:r w:rsidRPr="002A63BA">
        <w:rPr>
          <w:rFonts w:ascii="Open Sans" w:hAnsi="Open Sans" w:cs="Open Sans"/>
        </w:rPr>
        <w:t> (</w:t>
      </w:r>
      <w:r w:rsidRPr="002A63BA">
        <w:rPr>
          <w:rStyle w:val="Naglaeno"/>
          <w:rFonts w:ascii="Open Sans" w:hAnsi="Open Sans" w:cs="Open Sans"/>
          <w:color w:val="0E101A"/>
        </w:rPr>
        <w:t>net</w:t>
      </w:r>
      <w:r w:rsidRPr="002A63BA">
        <w:rPr>
          <w:rFonts w:ascii="Open Sans" w:hAnsi="Open Sans" w:cs="Open Sans"/>
        </w:rPr>
        <w:t>) </w:t>
      </w:r>
      <w:r w:rsidRPr="002A63BA">
        <w:rPr>
          <w:rStyle w:val="Naglaeno"/>
          <w:rFonts w:ascii="Open Sans" w:hAnsi="Open Sans" w:cs="Open Sans"/>
          <w:color w:val="0E101A"/>
        </w:rPr>
        <w:t>infrastructure capacities</w:t>
      </w:r>
      <w:r w:rsidRPr="002A63BA">
        <w:rPr>
          <w:rFonts w:ascii="Open Sans" w:hAnsi="Open Sans" w:cs="Open Sans"/>
        </w:rPr>
        <w:t> are equal to the 'remainder' of the estimated total infrastructure capacity loss (Tuk) subtracted from the infrastructure capacity of the area:</w:t>
      </w:r>
    </w:p>
    <w:p w14:paraId="4284A008" w14:textId="77777777" w:rsidR="007C3C4B" w:rsidRPr="002A63BA" w:rsidRDefault="007C3C4B" w:rsidP="00FF3EE4">
      <w:pPr>
        <w:pBdr>
          <w:top w:val="single" w:sz="4" w:space="1" w:color="auto"/>
          <w:left w:val="single" w:sz="4" w:space="4" w:color="auto"/>
          <w:bottom w:val="single" w:sz="4" w:space="1" w:color="auto"/>
          <w:right w:val="single" w:sz="4" w:space="4" w:color="auto"/>
        </w:pBdr>
        <w:spacing w:line="276" w:lineRule="auto"/>
        <w:jc w:val="center"/>
        <w:rPr>
          <w:rFonts w:ascii="Open Sans" w:hAnsi="Open Sans" w:cs="Open Sans"/>
          <w:b/>
        </w:rPr>
      </w:pPr>
      <w:r w:rsidRPr="002A63BA">
        <w:rPr>
          <w:rFonts w:ascii="Open Sans" w:hAnsi="Open Sans" w:cs="Open Sans"/>
          <w:b/>
          <w:i/>
        </w:rPr>
        <w:t xml:space="preserve">Available (net) infrastructure capacities </w:t>
      </w:r>
      <w:r w:rsidRPr="002A63BA">
        <w:rPr>
          <w:rFonts w:ascii="Open Sans" w:hAnsi="Open Sans" w:cs="Open Sans"/>
          <w:i/>
        </w:rPr>
        <w:t>=</w:t>
      </w:r>
      <w:r w:rsidRPr="002A63BA">
        <w:rPr>
          <w:rFonts w:ascii="Open Sans" w:hAnsi="Open Sans" w:cs="Open Sans"/>
          <w:b/>
          <w:i/>
        </w:rPr>
        <w:t xml:space="preserve"> </w:t>
      </w:r>
      <w:r w:rsidRPr="002A63BA">
        <w:rPr>
          <w:rFonts w:ascii="Open Sans" w:hAnsi="Open Sans" w:cs="Open Sans"/>
          <w:i/>
        </w:rPr>
        <w:t>Transport infrastructure capacity – T(uk)</w:t>
      </w:r>
      <w:r w:rsidRPr="002A63BA">
        <w:rPr>
          <w:rFonts w:ascii="Open Sans" w:hAnsi="Open Sans" w:cs="Open Sans"/>
          <w:b/>
          <w:i/>
        </w:rPr>
        <w:t>;</w:t>
      </w:r>
    </w:p>
    <w:p w14:paraId="74FC228D" w14:textId="77777777" w:rsidR="007C3C4B" w:rsidRPr="002A63BA" w:rsidRDefault="007C3C4B" w:rsidP="00FF3EE4">
      <w:pPr>
        <w:spacing w:line="276" w:lineRule="auto"/>
        <w:rPr>
          <w:rFonts w:ascii="Open Sans" w:hAnsi="Open Sans" w:cs="Open Sans"/>
        </w:rPr>
      </w:pPr>
      <w:r w:rsidRPr="002A63BA">
        <w:rPr>
          <w:rFonts w:ascii="Open Sans" w:hAnsi="Open Sans" w:cs="Open Sans"/>
        </w:rPr>
        <w:t>where transport infrastructure capacity equals the total land area in a particular time unit or time interval and it is determined by the spatial boundaries of the East Coast area.</w:t>
      </w:r>
    </w:p>
    <w:p w14:paraId="07C67EA7" w14:textId="77777777" w:rsidR="007C3C4B" w:rsidRPr="002A63BA" w:rsidRDefault="007C3C4B" w:rsidP="00FF3EE4">
      <w:pPr>
        <w:pBdr>
          <w:top w:val="single" w:sz="4" w:space="1" w:color="auto"/>
          <w:left w:val="single" w:sz="4" w:space="4" w:color="auto"/>
          <w:bottom w:val="single" w:sz="4" w:space="1" w:color="auto"/>
          <w:right w:val="single" w:sz="4" w:space="4" w:color="auto"/>
        </w:pBdr>
        <w:spacing w:line="276" w:lineRule="auto"/>
        <w:jc w:val="center"/>
        <w:rPr>
          <w:rFonts w:ascii="Open Sans" w:hAnsi="Open Sans" w:cs="Open Sans"/>
        </w:rPr>
      </w:pPr>
      <w:r w:rsidRPr="002A63BA">
        <w:rPr>
          <w:rFonts w:ascii="Open Sans" w:hAnsi="Open Sans" w:cs="Open Sans"/>
          <w:b/>
          <w:i/>
        </w:rPr>
        <w:t>Total infrastructure land area</w:t>
      </w:r>
      <w:r w:rsidRPr="002A63BA">
        <w:rPr>
          <w:rFonts w:ascii="Open Sans" w:hAnsi="Open Sans" w:cs="Open Sans"/>
          <w:b/>
        </w:rPr>
        <w:t xml:space="preserve"> (t)/[</w:t>
      </w:r>
      <w:r w:rsidRPr="002A63BA">
        <w:rPr>
          <w:rFonts w:ascii="Open Sans" w:hAnsi="Open Sans" w:cs="Open Sans"/>
          <w:b/>
          <w:i/>
        </w:rPr>
        <w:t>t0</w:t>
      </w:r>
      <w:r w:rsidRPr="002A63BA">
        <w:rPr>
          <w:rFonts w:ascii="Open Sans" w:hAnsi="Open Sans" w:cs="Open Sans"/>
          <w:b/>
        </w:rPr>
        <w:t>]&lt;m2&gt;</w:t>
      </w:r>
      <w:r w:rsidRPr="002A63BA">
        <w:rPr>
          <w:rFonts w:ascii="Open Sans" w:hAnsi="Open Sans" w:cs="Open Sans"/>
        </w:rPr>
        <w:t xml:space="preserve"> = Road infrastructure(t)/[</w:t>
      </w:r>
      <w:r w:rsidRPr="002A63BA">
        <w:rPr>
          <w:rFonts w:ascii="Open Sans" w:hAnsi="Open Sans" w:cs="Open Sans"/>
          <w:i/>
        </w:rPr>
        <w:t>32500</w:t>
      </w:r>
      <w:r w:rsidRPr="002A63BA">
        <w:rPr>
          <w:rFonts w:ascii="Open Sans" w:hAnsi="Open Sans" w:cs="Open Sans"/>
        </w:rPr>
        <w:t>]&lt;m2&gt; + Rail infrastructure(t)/[</w:t>
      </w:r>
      <w:r w:rsidRPr="002A63BA">
        <w:rPr>
          <w:rFonts w:ascii="Open Sans" w:hAnsi="Open Sans" w:cs="Open Sans"/>
          <w:i/>
        </w:rPr>
        <w:t>42900</w:t>
      </w:r>
      <w:r w:rsidRPr="002A63BA">
        <w:rPr>
          <w:rFonts w:ascii="Open Sans" w:hAnsi="Open Sans" w:cs="Open Sans"/>
        </w:rPr>
        <w:t>]&lt; m2&gt; + Port infrastructure(t)/[</w:t>
      </w:r>
      <w:r w:rsidRPr="002A63BA">
        <w:rPr>
          <w:rFonts w:ascii="Open Sans" w:hAnsi="Open Sans" w:cs="Open Sans"/>
          <w:i/>
        </w:rPr>
        <w:t>95900</w:t>
      </w:r>
      <w:r w:rsidRPr="002A63BA">
        <w:rPr>
          <w:rFonts w:ascii="Open Sans" w:hAnsi="Open Sans" w:cs="Open Sans"/>
        </w:rPr>
        <w:t>]&lt; m2&gt; + Remaining land infrastructure with unspecified transport purpose (t)/[</w:t>
      </w:r>
      <w:r w:rsidRPr="002A63BA">
        <w:rPr>
          <w:rFonts w:ascii="Open Sans" w:hAnsi="Open Sans" w:cs="Open Sans"/>
          <w:i/>
        </w:rPr>
        <w:t>27700</w:t>
      </w:r>
      <w:r w:rsidRPr="002A63BA">
        <w:rPr>
          <w:rFonts w:ascii="Open Sans" w:hAnsi="Open Sans" w:cs="Open Sans"/>
        </w:rPr>
        <w:t>]&lt; m2&gt;</w:t>
      </w:r>
    </w:p>
    <w:p w14:paraId="64F570DB" w14:textId="77777777" w:rsidR="007C3C4B" w:rsidRPr="002A63BA" w:rsidRDefault="007C3C4B" w:rsidP="00FF3EE4">
      <w:pPr>
        <w:spacing w:after="0" w:line="276" w:lineRule="auto"/>
        <w:rPr>
          <w:rFonts w:ascii="Open Sans" w:hAnsi="Open Sans" w:cs="Open Sans"/>
        </w:rPr>
      </w:pPr>
      <w:r w:rsidRPr="002A63BA">
        <w:rPr>
          <w:rFonts w:ascii="Open Sans" w:hAnsi="Open Sans" w:cs="Open Sans"/>
        </w:rPr>
        <w:lastRenderedPageBreak/>
        <w:t>Accordingly, figure 8. depicts a causal loop diagram of described transport congestion (Nguyen, Cook, Ireland, 2017; Bernardino, van der Hoofd, 2013) and infrastructure capacity relations (Ojha et al., 2018) as a whole.</w:t>
      </w:r>
    </w:p>
    <w:p w14:paraId="36F7777F" w14:textId="77777777" w:rsidR="007C3C4B" w:rsidRPr="002A63BA" w:rsidRDefault="007C3C4B" w:rsidP="00FF3EE4">
      <w:pPr>
        <w:tabs>
          <w:tab w:val="left" w:pos="3075"/>
        </w:tabs>
        <w:spacing w:line="276" w:lineRule="auto"/>
        <w:jc w:val="center"/>
        <w:rPr>
          <w:rFonts w:ascii="Open Sans" w:hAnsi="Open Sans" w:cs="Open Sans"/>
        </w:rPr>
      </w:pPr>
      <w:r w:rsidRPr="002A63BA">
        <w:rPr>
          <w:rFonts w:ascii="Open Sans" w:hAnsi="Open Sans" w:cs="Open Sans"/>
          <w:noProof/>
          <w:lang w:eastAsia="hr-HR"/>
        </w:rPr>
        <w:drawing>
          <wp:inline distT="0" distB="0" distL="0" distR="0" wp14:anchorId="7574AD8A" wp14:editId="183274FB">
            <wp:extent cx="3881910" cy="3348841"/>
            <wp:effectExtent l="0" t="0" r="4445" b="4445"/>
            <wp:docPr id="4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0" cstate="screen">
                      <a:extLst>
                        <a:ext uri="{28A0092B-C50C-407E-A947-70E740481C1C}">
                          <a14:useLocalDpi xmlns:a14="http://schemas.microsoft.com/office/drawing/2010/main"/>
                        </a:ext>
                      </a:extLst>
                    </a:blip>
                    <a:srcRect b="2941"/>
                    <a:stretch>
                      <a:fillRect/>
                    </a:stretch>
                  </pic:blipFill>
                  <pic:spPr bwMode="auto">
                    <a:xfrm>
                      <a:off x="0" y="0"/>
                      <a:ext cx="3890074" cy="3355884"/>
                    </a:xfrm>
                    <a:prstGeom prst="rect">
                      <a:avLst/>
                    </a:prstGeom>
                    <a:noFill/>
                    <a:ln w="9525">
                      <a:noFill/>
                      <a:miter lim="800000"/>
                      <a:headEnd/>
                      <a:tailEnd/>
                    </a:ln>
                  </pic:spPr>
                </pic:pic>
              </a:graphicData>
            </a:graphic>
          </wp:inline>
        </w:drawing>
      </w:r>
    </w:p>
    <w:p w14:paraId="4EB0193B" w14:textId="77777777" w:rsidR="007C3C4B" w:rsidRPr="002A63BA" w:rsidRDefault="007C3C4B" w:rsidP="00FF3EE4">
      <w:pPr>
        <w:tabs>
          <w:tab w:val="left" w:pos="3075"/>
        </w:tabs>
        <w:spacing w:line="276" w:lineRule="auto"/>
        <w:jc w:val="left"/>
        <w:rPr>
          <w:rFonts w:ascii="Open Sans" w:hAnsi="Open Sans" w:cs="Open Sans"/>
          <w:iCs/>
        </w:rPr>
      </w:pPr>
      <w:r w:rsidRPr="002A63BA">
        <w:rPr>
          <w:rFonts w:ascii="Open Sans" w:hAnsi="Open Sans" w:cs="Open Sans"/>
          <w:iCs/>
        </w:rPr>
        <w:t xml:space="preserve">Figure 8. </w:t>
      </w:r>
      <w:r w:rsidRPr="002A63BA">
        <w:rPr>
          <w:rFonts w:ascii="Open Sans" w:hAnsi="Open Sans" w:cs="Open Sans"/>
          <w:i/>
        </w:rPr>
        <w:t xml:space="preserve">Causal loop diagram of available infrastructure capacities and transport congestion </w:t>
      </w:r>
      <w:r w:rsidRPr="002A63BA">
        <w:rPr>
          <w:rFonts w:ascii="Open Sans" w:hAnsi="Open Sans" w:cs="Open Sans"/>
          <w:iCs/>
        </w:rPr>
        <w:t xml:space="preserve">(Author's drawing based on </w:t>
      </w:r>
      <w:r w:rsidRPr="002A63BA">
        <w:rPr>
          <w:rFonts w:ascii="Open Sans" w:hAnsi="Open Sans" w:cs="Open Sans"/>
        </w:rPr>
        <w:t>Bernardino, van der Hoofd, 2013; Ojha et al., 2018</w:t>
      </w:r>
      <w:r w:rsidRPr="002A63BA">
        <w:rPr>
          <w:rFonts w:ascii="Open Sans" w:hAnsi="Open Sans" w:cs="Open Sans"/>
          <w:iCs/>
        </w:rPr>
        <w:t>)</w:t>
      </w:r>
    </w:p>
    <w:p w14:paraId="54C4BAF5" w14:textId="77777777" w:rsidR="007C3C4B" w:rsidRPr="002A63BA" w:rsidRDefault="007C3C4B" w:rsidP="00FF3EE4">
      <w:pPr>
        <w:spacing w:line="276" w:lineRule="auto"/>
        <w:rPr>
          <w:rFonts w:ascii="Open Sans" w:hAnsi="Open Sans" w:cs="Open Sans"/>
        </w:rPr>
      </w:pPr>
      <w:r w:rsidRPr="002A63BA">
        <w:rPr>
          <w:rFonts w:ascii="Open Sans" w:hAnsi="Open Sans" w:cs="Open Sans"/>
        </w:rPr>
        <w:t xml:space="preserve">In short, on average, the increase of available (net) infrastructure capacity will decrease the hold time in model per system unit and increase average system flow (entities per day) and average entity speed in the transport system and vice versa. By analyzing the available net capacity, two features can be recognized: (1) Permanently loss and security-conditioned infrastructure loss are singularly valued in the conceptual model; (2) Temporary lost capacities are part of ongoing maintenance and similar short-term activities. Consequences of temporarily lost capacities are often estimated in short time intervals using parameters such as average entity speed in the transport system, average free-flow in the transport system, or average traffic flow. These parameters are more </w:t>
      </w:r>
      <w:r w:rsidRPr="002A63BA">
        <w:rPr>
          <w:rFonts w:ascii="Open Sans" w:hAnsi="Open Sans" w:cs="Open Sans"/>
        </w:rPr>
        <w:lastRenderedPageBreak/>
        <w:t>practical for discrete event simulations and less for system dynamics but as much valuable for system understanding via conceptual modeling using the system thinking approach. In addition, available (net) road infrastructure incorporates a land area for public (sustainable) transport infrastructure. Public transport utilizes the available road infrastructure without lowering transportation efficiency or effectiveness while decarbonizing urban transport. Therefore, public infrastructure is integrated into the road infrastructure capacities as a unique form of urban mobility that includes a variety of sustainable forms of transportation. In other words, both infrastructures help meet the demand for transport services but use different infrastructure contents (e.g., public – sustainable - infrastructure includes pedestrian infrastructure, bicycle lanes, etc.). Along with the causal loop development, Figure 9 was made by synthesizing the causal loop models shown through this section to provide a holistic view of all variable relations included in the system model development of the East Coast Area.</w:t>
      </w:r>
    </w:p>
    <w:p w14:paraId="1A4530A2" w14:textId="77777777" w:rsidR="007C3C4B" w:rsidRPr="002A63BA" w:rsidRDefault="007C3C4B" w:rsidP="00FF3EE4">
      <w:pPr>
        <w:tabs>
          <w:tab w:val="left" w:pos="3075"/>
        </w:tabs>
        <w:spacing w:line="276" w:lineRule="auto"/>
        <w:jc w:val="center"/>
        <w:rPr>
          <w:rFonts w:ascii="Open Sans" w:hAnsi="Open Sans" w:cs="Open Sans"/>
          <w:b/>
          <w:noProof/>
          <w:lang w:eastAsia="hr-HR"/>
        </w:rPr>
      </w:pPr>
      <w:r w:rsidRPr="002A63BA">
        <w:rPr>
          <w:rFonts w:ascii="Open Sans" w:hAnsi="Open Sans" w:cs="Open Sans"/>
          <w:b/>
          <w:noProof/>
          <w:lang w:eastAsia="hr-HR"/>
        </w:rPr>
        <w:drawing>
          <wp:inline distT="0" distB="0" distL="0" distR="0" wp14:anchorId="62BE7FBF" wp14:editId="4137B5ED">
            <wp:extent cx="5042312" cy="2760453"/>
            <wp:effectExtent l="19050" t="0" r="5938" b="0"/>
            <wp:docPr id="4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cstate="screen">
                      <a:extLst>
                        <a:ext uri="{28A0092B-C50C-407E-A947-70E740481C1C}">
                          <a14:useLocalDpi xmlns:a14="http://schemas.microsoft.com/office/drawing/2010/main"/>
                        </a:ext>
                      </a:extLst>
                    </a:blip>
                    <a:srcRect/>
                    <a:stretch>
                      <a:fillRect/>
                    </a:stretch>
                  </pic:blipFill>
                  <pic:spPr bwMode="auto">
                    <a:xfrm>
                      <a:off x="0" y="0"/>
                      <a:ext cx="5042869" cy="2760758"/>
                    </a:xfrm>
                    <a:prstGeom prst="rect">
                      <a:avLst/>
                    </a:prstGeom>
                    <a:noFill/>
                    <a:ln w="9525">
                      <a:noFill/>
                      <a:miter lim="800000"/>
                      <a:headEnd/>
                      <a:tailEnd/>
                    </a:ln>
                  </pic:spPr>
                </pic:pic>
              </a:graphicData>
            </a:graphic>
          </wp:inline>
        </w:drawing>
      </w:r>
    </w:p>
    <w:p w14:paraId="6B677258" w14:textId="77777777" w:rsidR="007C3C4B" w:rsidRPr="002A63BA" w:rsidRDefault="007C3C4B" w:rsidP="00FF3EE4">
      <w:pPr>
        <w:tabs>
          <w:tab w:val="left" w:pos="3075"/>
        </w:tabs>
        <w:spacing w:line="276" w:lineRule="auto"/>
        <w:jc w:val="left"/>
        <w:rPr>
          <w:rFonts w:ascii="Open Sans" w:hAnsi="Open Sans" w:cs="Open Sans"/>
          <w:iCs/>
        </w:rPr>
      </w:pPr>
      <w:r w:rsidRPr="002A63BA">
        <w:rPr>
          <w:rFonts w:ascii="Open Sans" w:hAnsi="Open Sans" w:cs="Open Sans"/>
          <w:iCs/>
        </w:rPr>
        <w:t xml:space="preserve">Figure 9. </w:t>
      </w:r>
      <w:r w:rsidRPr="002A63BA">
        <w:rPr>
          <w:rFonts w:ascii="Open Sans" w:hAnsi="Open Sans" w:cs="Open Sans"/>
          <w:i/>
        </w:rPr>
        <w:t>Definite causal loop diagram for transport infrastructure planning</w:t>
      </w:r>
      <w:r w:rsidRPr="002A63BA">
        <w:rPr>
          <w:rFonts w:ascii="Open Sans" w:hAnsi="Open Sans" w:cs="Open Sans"/>
          <w:iCs/>
        </w:rPr>
        <w:t xml:space="preserve"> (Author's work)</w:t>
      </w:r>
    </w:p>
    <w:p w14:paraId="7A9A7C59" w14:textId="77777777" w:rsidR="007C3C4B" w:rsidRPr="002A63BA" w:rsidRDefault="007C3C4B" w:rsidP="00FF3EE4">
      <w:pPr>
        <w:spacing w:line="276" w:lineRule="auto"/>
        <w:rPr>
          <w:rFonts w:ascii="Open Sans" w:hAnsi="Open Sans" w:cs="Open Sans"/>
        </w:rPr>
      </w:pPr>
      <w:r w:rsidRPr="002A63BA">
        <w:rPr>
          <w:rFonts w:ascii="Open Sans" w:hAnsi="Open Sans" w:cs="Open Sans"/>
        </w:rPr>
        <w:lastRenderedPageBreak/>
        <w:t>The final causal loop model represents the conceptual base, a system thinking step required for the dynamic stock-flow quantitative modeling. Still, the suggested causal loop diagram (Figure 9.) does not depict all inner connections between system variables (</w:t>
      </w:r>
      <w:r w:rsidRPr="002A63BA">
        <w:rPr>
          <w:rFonts w:ascii="Open Sans" w:hAnsi="Open Sans" w:cs="Open Sans"/>
          <w:i/>
        </w:rPr>
        <w:t>system complexity issue</w:t>
      </w:r>
      <w:r w:rsidRPr="002A63BA">
        <w:rPr>
          <w:rFonts w:ascii="Open Sans" w:hAnsi="Open Sans" w:cs="Open Sans"/>
        </w:rPr>
        <w:t>). Additionally, some variables contain a higher number of inputs with the accumulated output (e.g., T(uk)), describe more than one system variable (e.g., infrastructure capacities), or hold different entities into one variable (e.g., system population). Furthermore, outlined variables of a system model do not represent its boundaries since the perception and learning about the transport system grows in time - systems tend to evolve in time under various internal and external influences.</w:t>
      </w:r>
    </w:p>
    <w:p w14:paraId="13A14F35" w14:textId="41F388D9" w:rsidR="007C3C4B" w:rsidRPr="002A63BA" w:rsidRDefault="007C3C4B" w:rsidP="005B1A5A">
      <w:pPr>
        <w:pStyle w:val="N1"/>
      </w:pPr>
      <w:r w:rsidRPr="002A63BA">
        <w:t>Conclusion and future research directions</w:t>
      </w:r>
    </w:p>
    <w:p w14:paraId="2E6854E2" w14:textId="77777777" w:rsidR="007C3C4B" w:rsidRPr="002A63BA" w:rsidRDefault="007C3C4B" w:rsidP="00FF3EE4">
      <w:pPr>
        <w:spacing w:line="276" w:lineRule="auto"/>
        <w:rPr>
          <w:rFonts w:ascii="Open Sans" w:hAnsi="Open Sans" w:cs="Open Sans"/>
        </w:rPr>
      </w:pPr>
      <w:r w:rsidRPr="002A63BA">
        <w:rPr>
          <w:rFonts w:ascii="Open Sans" w:hAnsi="Open Sans" w:cs="Open Sans"/>
        </w:rPr>
        <w:t xml:space="preserve">The objective of this study was to create a conceptual model using a system thinking approach and preliminary dynamic modeling of an urban mobility performance of the observed area as a relation between transport demand and supply, focusing primarily on infrastructure capacities in operating transport performance. As capacity deficiency of the land transport system is a considerable factor influencing urban development (Yu et al., 2014; Wen, Bai, 2016), this paper examined a variety of studies to enhance transport infrastructure planning using system thinking as an introductory approach to the system dynamic model development. Created causal loop model helps recognize the relationship between transport system variables by determining available infrastructure capacity and long-term mobility potential. Likewise, in order to be with sustainable practices, environmental challenges are included in the model as the development of sustainable alternatives - public infrastructure - to go along with social and ecological issues. Therefore, public infrastructure is a critical infrastructural component of transport systems since it facilitates sustainability in urban development by encouraging transport solutions that positively affect social and environmental issues without compromising mobility performance. Although this study uses a specific research subject as modeling support, </w:t>
      </w:r>
      <w:r w:rsidRPr="002A63BA">
        <w:rPr>
          <w:rFonts w:ascii="Open Sans" w:hAnsi="Open Sans" w:cs="Open Sans"/>
        </w:rPr>
        <w:lastRenderedPageBreak/>
        <w:t xml:space="preserve">the presented approach can be applied in general to support development in other land areas with similar research issues. </w:t>
      </w:r>
    </w:p>
    <w:p w14:paraId="738D3784" w14:textId="77777777" w:rsidR="007C3C4B" w:rsidRPr="002A63BA" w:rsidRDefault="007C3C4B" w:rsidP="00FF3EE4">
      <w:pPr>
        <w:spacing w:line="276" w:lineRule="auto"/>
        <w:rPr>
          <w:rFonts w:ascii="Open Sans" w:hAnsi="Open Sans" w:cs="Open Sans"/>
        </w:rPr>
      </w:pPr>
      <w:r w:rsidRPr="002A63BA">
        <w:rPr>
          <w:rFonts w:ascii="Open Sans" w:hAnsi="Open Sans" w:cs="Open Sans"/>
        </w:rPr>
        <w:t>Further research for the shown case study requires the creation of a system dynamic model based on the result of this study and preliminary dynamic model guidelines discussed throughout the paper. Additionally, it is required to collect and examine all available data about transport demand in order to test and validate dynamic scenario models for infrastructure performance estimation long-term and find the best possible way to compromise potential data unavailability due to the system complexity of the area, especially those including estimation of the proposed infrastructure projects of the land area.</w:t>
      </w:r>
    </w:p>
    <w:p w14:paraId="0B97C5DB" w14:textId="77777777" w:rsidR="007C3C4B" w:rsidRPr="002A63BA" w:rsidRDefault="007C3C4B" w:rsidP="008E4125">
      <w:pPr>
        <w:pStyle w:val="N1"/>
      </w:pPr>
      <w:r w:rsidRPr="002A63BA">
        <w:t xml:space="preserve">References   </w:t>
      </w:r>
    </w:p>
    <w:p w14:paraId="06012EA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Alder, S.D. (2015). </w:t>
      </w:r>
      <w:r w:rsidRPr="003234DC">
        <w:rPr>
          <w:rFonts w:ascii="Open Sans" w:hAnsi="Open Sans" w:cs="Open Sans"/>
          <w:i/>
          <w:iCs/>
        </w:rPr>
        <w:t>Chinese Roads in India: The Effect of Transport Infrastructure on Economic Development</w:t>
      </w:r>
      <w:r w:rsidRPr="003234DC">
        <w:rPr>
          <w:rFonts w:ascii="Open Sans" w:hAnsi="Open Sans" w:cs="Open Sans"/>
        </w:rPr>
        <w:t>, ERN: Asia.</w:t>
      </w:r>
    </w:p>
    <w:p w14:paraId="7667C675" w14:textId="77777777" w:rsidR="00591179" w:rsidRPr="003234DC" w:rsidRDefault="00591179" w:rsidP="00A06A62">
      <w:pPr>
        <w:pStyle w:val="Odlomakpopisa"/>
        <w:numPr>
          <w:ilvl w:val="0"/>
          <w:numId w:val="28"/>
        </w:numPr>
        <w:autoSpaceDE w:val="0"/>
        <w:autoSpaceDN w:val="0"/>
        <w:adjustRightInd w:val="0"/>
        <w:spacing w:after="0" w:line="276" w:lineRule="auto"/>
        <w:rPr>
          <w:rFonts w:ascii="Open Sans" w:hAnsi="Open Sans" w:cs="Open Sans"/>
        </w:rPr>
      </w:pPr>
      <w:r w:rsidRPr="003234DC">
        <w:rPr>
          <w:rFonts w:ascii="Open Sans" w:hAnsi="Open Sans" w:cs="Open Sans"/>
        </w:rPr>
        <w:t xml:space="preserve">Angelidou, M., Psaltoglou, A., Komninos, N., Kakderi, C., Tsarchopoulos, P., Panori, A. (2017). Enhancing sustainable urban development through smart city applications. </w:t>
      </w:r>
      <w:r w:rsidRPr="003234DC">
        <w:rPr>
          <w:rFonts w:ascii="Open Sans" w:hAnsi="Open Sans" w:cs="Open Sans"/>
          <w:i/>
          <w:iCs/>
        </w:rPr>
        <w:t>Journal of Science and Technology Policy Management</w:t>
      </w:r>
      <w:r w:rsidRPr="003234DC">
        <w:rPr>
          <w:rFonts w:ascii="Open Sans" w:hAnsi="Open Sans" w:cs="Open Sans"/>
        </w:rPr>
        <w:t>.</w:t>
      </w:r>
    </w:p>
    <w:p w14:paraId="06357822"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Badada Badassa, B., Sun, B., Qiao, L. (2020). Sustainable Transport Infrastructure and Econimic Returns: A Bibliometric and Visualization Analysis.</w:t>
      </w:r>
      <w:r w:rsidRPr="003234DC">
        <w:rPr>
          <w:rFonts w:ascii="Open Sans" w:hAnsi="Open Sans" w:cs="Open Sans"/>
          <w:i/>
          <w:iCs/>
        </w:rPr>
        <w:t xml:space="preserve"> Sustainability 2020</w:t>
      </w:r>
      <w:r w:rsidRPr="003234DC">
        <w:rPr>
          <w:rFonts w:ascii="Open Sans" w:hAnsi="Open Sans" w:cs="Open Sans"/>
        </w:rPr>
        <w:t>, 12(5), pp. 1-24.</w:t>
      </w:r>
    </w:p>
    <w:p w14:paraId="4C4E6D1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Banister, D. (1995). </w:t>
      </w:r>
      <w:r w:rsidRPr="003234DC">
        <w:rPr>
          <w:rFonts w:ascii="Open Sans" w:hAnsi="Open Sans" w:cs="Open Sans"/>
          <w:i/>
          <w:iCs/>
        </w:rPr>
        <w:t>Transport and Urban Development</w:t>
      </w:r>
      <w:r w:rsidRPr="003234DC">
        <w:rPr>
          <w:rFonts w:ascii="Open Sans" w:hAnsi="Open Sans" w:cs="Open Sans"/>
        </w:rPr>
        <w:t>, London: E &amp; FN Spon.</w:t>
      </w:r>
    </w:p>
    <w:p w14:paraId="77BCFDA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Batty, M., Axhausen, K. W., Giannotti, F., Pozdnoukhov, A., Bazzani, A., Wachowicz, M., Ouzounis, G., Portugali, Y. (2012). Smart cities of the future. </w:t>
      </w:r>
      <w:r w:rsidRPr="003234DC">
        <w:rPr>
          <w:rFonts w:ascii="Open Sans" w:hAnsi="Open Sans" w:cs="Open Sans"/>
          <w:i/>
          <w:iCs/>
        </w:rPr>
        <w:t>The European Physical Journal Special Topics</w:t>
      </w:r>
      <w:r w:rsidRPr="003234DC">
        <w:rPr>
          <w:rFonts w:ascii="Open Sans" w:hAnsi="Open Sans" w:cs="Open Sans"/>
        </w:rPr>
        <w:t>, 214(1), pp. 481-518.</w:t>
      </w:r>
    </w:p>
    <w:p w14:paraId="285BBCC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Benevolo, C., Dameri, R. P., D'Auria, B. (2016). Smart Mobility in Smart City. In: Torre, T., Braccini, A., Spinelli, R. (eds.), </w:t>
      </w:r>
      <w:r w:rsidRPr="003234DC">
        <w:rPr>
          <w:rFonts w:ascii="Open Sans" w:hAnsi="Open Sans" w:cs="Open Sans"/>
          <w:i/>
          <w:iCs/>
        </w:rPr>
        <w:t>Empovering Organizations. Lecture Notes in information Systems and Organisation</w:t>
      </w:r>
      <w:r w:rsidRPr="003234DC">
        <w:rPr>
          <w:rFonts w:ascii="Open Sans" w:hAnsi="Open Sans" w:cs="Open Sans"/>
        </w:rPr>
        <w:t>, Springer, Cham, pp. 13-28.</w:t>
      </w:r>
    </w:p>
    <w:p w14:paraId="6265A7F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Bernardino, J. P. R., van der Hoofd, M. (2013). Parking Policy and Urban Mobility Level of Service – System Dynamics as a Modelling Tool for Decision Making. </w:t>
      </w:r>
      <w:r w:rsidRPr="003234DC">
        <w:rPr>
          <w:rFonts w:ascii="Open Sans" w:hAnsi="Open Sans" w:cs="Open Sans"/>
          <w:i/>
          <w:iCs/>
        </w:rPr>
        <w:t>European Journal of Transport and Infrastructure Research</w:t>
      </w:r>
      <w:r w:rsidRPr="003234DC">
        <w:rPr>
          <w:rFonts w:ascii="Open Sans" w:hAnsi="Open Sans" w:cs="Open Sans"/>
        </w:rPr>
        <w:t>, 13(3), pp. 239-258.</w:t>
      </w:r>
    </w:p>
    <w:p w14:paraId="70E94C6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Boateng, P., Chen, Z., Ogunlana, S., Ikediashi, D. (2012). A system dynamics approach to risks description in megaprojects development. </w:t>
      </w:r>
      <w:r w:rsidRPr="003234DC">
        <w:rPr>
          <w:rFonts w:ascii="Open Sans" w:hAnsi="Open Sans" w:cs="Open Sans"/>
          <w:i/>
          <w:iCs/>
        </w:rPr>
        <w:t>Organization, technology &amp; management in construction: an international journal</w:t>
      </w:r>
      <w:r w:rsidRPr="003234DC">
        <w:rPr>
          <w:rFonts w:ascii="Open Sans" w:hAnsi="Open Sans" w:cs="Open Sans"/>
        </w:rPr>
        <w:t>, 4(Special Issue), pp. 593-603.</w:t>
      </w:r>
    </w:p>
    <w:p w14:paraId="4124E28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Caponio, G., Massaro, V., Mossa, G., Mummolo, G. (2015). Strategic Energy Planning of Residential Buildings in a Smart City: A System Dynamics Approach. </w:t>
      </w:r>
      <w:r w:rsidRPr="003234DC">
        <w:rPr>
          <w:rFonts w:ascii="Open Sans" w:hAnsi="Open Sans" w:cs="Open Sans"/>
          <w:i/>
          <w:iCs/>
        </w:rPr>
        <w:t>International Journal of Engineering Business Management</w:t>
      </w:r>
      <w:r w:rsidRPr="003234DC">
        <w:rPr>
          <w:rFonts w:ascii="Open Sans" w:hAnsi="Open Sans" w:cs="Open Sans"/>
        </w:rPr>
        <w:t>, 7, 20.</w:t>
      </w:r>
    </w:p>
    <w:p w14:paraId="3F146B61"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Cheba, K, Saniuk, S. (2016). Sustainable urban transport – the concept of measurement in the field of city logistics. </w:t>
      </w:r>
      <w:r w:rsidRPr="003234DC">
        <w:rPr>
          <w:rFonts w:ascii="Open Sans" w:hAnsi="Open Sans" w:cs="Open Sans"/>
          <w:i/>
          <w:iCs/>
        </w:rPr>
        <w:t>Transportation Research Procedia</w:t>
      </w:r>
      <w:r w:rsidRPr="003234DC">
        <w:rPr>
          <w:rFonts w:ascii="Open Sans" w:hAnsi="Open Sans" w:cs="Open Sans"/>
        </w:rPr>
        <w:t>, 16, pp. 35-45.</w:t>
      </w:r>
    </w:p>
    <w:p w14:paraId="0D684381"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Chourabi, H., Nam, T., Walker, S., Gil-Garcia, J. R., Mellouli, S., Nahon, K., Pardo, T. A., Scholl, H. J. (2012). Understanding Smart Cities: An Integrative Framework. </w:t>
      </w:r>
      <w:r w:rsidRPr="003234DC">
        <w:rPr>
          <w:rFonts w:ascii="Open Sans" w:hAnsi="Open Sans" w:cs="Open Sans"/>
          <w:i/>
          <w:iCs/>
        </w:rPr>
        <w:t>45th Hawaii International Conference on System Sciences (2012)</w:t>
      </w:r>
      <w:r w:rsidRPr="003234DC">
        <w:rPr>
          <w:rFonts w:ascii="Open Sans" w:hAnsi="Open Sans" w:cs="Open Sans"/>
        </w:rPr>
        <w:t>, pp. 2289-2297.</w:t>
      </w:r>
    </w:p>
    <w:p w14:paraId="73F2687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City of Split (2005). Prostorni plan uređenja grada Splita. Available at: </w:t>
      </w:r>
      <w:hyperlink r:id="rId92" w:history="1">
        <w:r w:rsidRPr="003234DC">
          <w:rPr>
            <w:rStyle w:val="Hiperveza"/>
            <w:rFonts w:ascii="Open Sans" w:hAnsi="Open Sans" w:cs="Open Sans"/>
            <w:color w:val="auto"/>
          </w:rPr>
          <w:t>https://www.split.hr/ukljuci-se/prostorno-planska-dokumentacija/planovi-na-snazi/ppu-grada-splita</w:t>
        </w:r>
      </w:hyperlink>
      <w:r w:rsidRPr="003234DC">
        <w:rPr>
          <w:rFonts w:ascii="Open Sans" w:hAnsi="Open Sans" w:cs="Open Sans"/>
        </w:rPr>
        <w:t xml:space="preserve"> (Accessed: October 02, 2021).</w:t>
      </w:r>
    </w:p>
    <w:p w14:paraId="359F0E8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Coyle, R. G. (1996). </w:t>
      </w:r>
      <w:r w:rsidRPr="003234DC">
        <w:rPr>
          <w:rFonts w:ascii="Open Sans" w:hAnsi="Open Sans" w:cs="Open Sans"/>
          <w:i/>
          <w:iCs/>
        </w:rPr>
        <w:t>System Dynamics Modelling: A practical approach</w:t>
      </w:r>
      <w:r w:rsidRPr="003234DC">
        <w:rPr>
          <w:rFonts w:ascii="Open Sans" w:hAnsi="Open Sans" w:cs="Open Sans"/>
        </w:rPr>
        <w:t>, Chapman &amp; Hall, London.</w:t>
      </w:r>
    </w:p>
    <w:p w14:paraId="31FC19D8"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Crescenzi, P., Rodriguez-Pose, A. (2012). Infrastructure and regional groth in the European Union. </w:t>
      </w:r>
      <w:r w:rsidRPr="003234DC">
        <w:rPr>
          <w:rFonts w:ascii="Open Sans" w:hAnsi="Open Sans" w:cs="Open Sans"/>
          <w:i/>
          <w:iCs/>
        </w:rPr>
        <w:t>Papers in Regional Science</w:t>
      </w:r>
      <w:r w:rsidRPr="003234DC">
        <w:rPr>
          <w:rFonts w:ascii="Open Sans" w:hAnsi="Open Sans" w:cs="Open Sans"/>
        </w:rPr>
        <w:t>, 91(3), pp. 487-513.</w:t>
      </w:r>
    </w:p>
    <w:p w14:paraId="2F78490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Currie, C. S. M., Fowler, J. W., Kotiadis, K., Monks, T., Onggo, B. S., Robertson, D. A., Tako, A. A. (2020). How simulation modelling can help reduce the impact of COVID-19. </w:t>
      </w:r>
      <w:r w:rsidRPr="003234DC">
        <w:rPr>
          <w:rFonts w:ascii="Open Sans" w:hAnsi="Open Sans" w:cs="Open Sans"/>
          <w:i/>
          <w:iCs/>
        </w:rPr>
        <w:t>Journal of Simulation</w:t>
      </w:r>
      <w:r w:rsidRPr="003234DC">
        <w:rPr>
          <w:rFonts w:ascii="Open Sans" w:hAnsi="Open Sans" w:cs="Open Sans"/>
        </w:rPr>
        <w:t>, 14(2), pp. 83-97.</w:t>
      </w:r>
    </w:p>
    <w:p w14:paraId="3496C8B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Ćukušić, M., Jadrić, M., Mijač, T. (2019). Identifying challenges and priorities for developing smart city initiatives and applications. </w:t>
      </w:r>
      <w:r w:rsidRPr="003234DC">
        <w:rPr>
          <w:rFonts w:ascii="Open Sans" w:hAnsi="Open Sans" w:cs="Open Sans"/>
          <w:i/>
          <w:iCs/>
        </w:rPr>
        <w:t>Croatian Operational Research Review</w:t>
      </w:r>
      <w:r w:rsidRPr="003234DC">
        <w:rPr>
          <w:rFonts w:ascii="Open Sans" w:hAnsi="Open Sans" w:cs="Open Sans"/>
        </w:rPr>
        <w:t>, 10(1), pp. 117-129.</w:t>
      </w:r>
    </w:p>
    <w:p w14:paraId="179FFF2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Elburz, Z., Nijkamp, P., Pels, E. (2017). Public infrastructure and regional growth: Lessons from meta-analysis. </w:t>
      </w:r>
      <w:r w:rsidRPr="003234DC">
        <w:rPr>
          <w:rFonts w:ascii="Open Sans" w:hAnsi="Open Sans" w:cs="Open Sans"/>
          <w:i/>
          <w:iCs/>
        </w:rPr>
        <w:t>Journal of Transport Geography</w:t>
      </w:r>
      <w:r w:rsidRPr="003234DC">
        <w:rPr>
          <w:rFonts w:ascii="Open Sans" w:hAnsi="Open Sans" w:cs="Open Sans"/>
        </w:rPr>
        <w:t>, 58, pp. 1-8.</w:t>
      </w:r>
    </w:p>
    <w:p w14:paraId="700B9A9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Elliot, J. A. (2013). </w:t>
      </w:r>
      <w:r w:rsidRPr="003234DC">
        <w:rPr>
          <w:rFonts w:ascii="Open Sans" w:hAnsi="Open Sans" w:cs="Open Sans"/>
          <w:i/>
          <w:iCs/>
        </w:rPr>
        <w:t>An Introduction to Sustainable Development</w:t>
      </w:r>
      <w:r w:rsidRPr="003234DC">
        <w:rPr>
          <w:rFonts w:ascii="Open Sans" w:hAnsi="Open Sans" w:cs="Open Sans"/>
        </w:rPr>
        <w:t>, London: Routledge.</w:t>
      </w:r>
    </w:p>
    <w:p w14:paraId="0836412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European Bank for Reconstruction and Development (2020). Master Plan for Kopilica and East Coast. Available at: </w:t>
      </w:r>
      <w:hyperlink r:id="rId93" w:history="1">
        <w:r w:rsidRPr="003234DC">
          <w:rPr>
            <w:rStyle w:val="Hiperveza"/>
            <w:rFonts w:ascii="Open Sans" w:hAnsi="Open Sans" w:cs="Open Sans"/>
            <w:color w:val="auto"/>
          </w:rPr>
          <w:t>https://www.split.hr/clanak/masterplan-studija-za-podrucje-istocne-obale-i-kopilice-integrirani-razvojni-plan</w:t>
        </w:r>
      </w:hyperlink>
      <w:r w:rsidRPr="003234DC">
        <w:rPr>
          <w:rFonts w:ascii="Open Sans" w:hAnsi="Open Sans" w:cs="Open Sans"/>
        </w:rPr>
        <w:t xml:space="preserve"> (Accessed: October 02, 2021).</w:t>
      </w:r>
    </w:p>
    <w:p w14:paraId="246EA5A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Forrester, J. W. (1961). </w:t>
      </w:r>
      <w:r w:rsidRPr="003234DC">
        <w:rPr>
          <w:rFonts w:ascii="Open Sans" w:hAnsi="Open Sans" w:cs="Open Sans"/>
          <w:i/>
          <w:iCs/>
        </w:rPr>
        <w:t>Industrial Dynamics</w:t>
      </w:r>
      <w:r w:rsidRPr="003234DC">
        <w:rPr>
          <w:rFonts w:ascii="Open Sans" w:hAnsi="Open Sans" w:cs="Open Sans"/>
        </w:rPr>
        <w:t xml:space="preserve">, M.I.T. Press, Cambridge. </w:t>
      </w:r>
    </w:p>
    <w:p w14:paraId="43D4BBE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Forrester, J. W. (1994). System Dynamics, Systems Thinking, and Soft OR. </w:t>
      </w:r>
      <w:r w:rsidRPr="003234DC">
        <w:rPr>
          <w:rFonts w:ascii="Open Sans" w:hAnsi="Open Sans" w:cs="Open Sans"/>
          <w:i/>
          <w:iCs/>
        </w:rPr>
        <w:t>System Dynamics Review</w:t>
      </w:r>
      <w:r w:rsidRPr="003234DC">
        <w:rPr>
          <w:rFonts w:ascii="Open Sans" w:hAnsi="Open Sans" w:cs="Open Sans"/>
        </w:rPr>
        <w:t>, 10(2), pp. 245-256.</w:t>
      </w:r>
    </w:p>
    <w:p w14:paraId="5339390D"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Forrester, J. W. (2009). Some basic concepts in system dynamics. </w:t>
      </w:r>
      <w:r w:rsidRPr="003234DC">
        <w:rPr>
          <w:rFonts w:ascii="Open Sans" w:hAnsi="Open Sans" w:cs="Open Sans"/>
          <w:i/>
          <w:iCs/>
        </w:rPr>
        <w:t>Sloan School of Management, Massachusetts Institute of Technology</w:t>
      </w:r>
      <w:r w:rsidRPr="003234DC">
        <w:rPr>
          <w:rFonts w:ascii="Open Sans" w:hAnsi="Open Sans" w:cs="Open Sans"/>
        </w:rPr>
        <w:t>, Cambridge, 9.</w:t>
      </w:r>
    </w:p>
    <w:p w14:paraId="554E810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Geng, B., Zheng, X., Fu, M. (2017). Scenario analysis of sustainable intensive land use based on SD model. </w:t>
      </w:r>
      <w:r w:rsidRPr="003234DC">
        <w:rPr>
          <w:rFonts w:ascii="Open Sans" w:hAnsi="Open Sans" w:cs="Open Sans"/>
          <w:i/>
          <w:iCs/>
        </w:rPr>
        <w:t>Sustainable Cities and Society</w:t>
      </w:r>
      <w:r w:rsidRPr="003234DC">
        <w:rPr>
          <w:rFonts w:ascii="Open Sans" w:hAnsi="Open Sans" w:cs="Open Sans"/>
        </w:rPr>
        <w:t>, 29, pp. 193-202.</w:t>
      </w:r>
    </w:p>
    <w:p w14:paraId="3FB923E4"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Giddings, B., Hopwood, B., O'Brien, G. (2002). Environment, Economy and Society: Fitting Them Together Into Sustainable Development. </w:t>
      </w:r>
      <w:r w:rsidRPr="003234DC">
        <w:rPr>
          <w:rFonts w:ascii="Open Sans" w:hAnsi="Open Sans" w:cs="Open Sans"/>
          <w:i/>
          <w:iCs/>
        </w:rPr>
        <w:t>Sustainable Development</w:t>
      </w:r>
      <w:r w:rsidRPr="003234DC">
        <w:rPr>
          <w:rFonts w:ascii="Open Sans" w:hAnsi="Open Sans" w:cs="Open Sans"/>
        </w:rPr>
        <w:t>, 10(4), pp. 187-196.</w:t>
      </w:r>
    </w:p>
    <w:p w14:paraId="3CA2B1B4"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Giffinger, R., Fertner, C., Kramar, H., Kalasek, R., Pichler-Milanovic, N., Meijers, E. (2007). Smart Cities – Ranking of European medium-sized cities. </w:t>
      </w:r>
      <w:r w:rsidRPr="003234DC">
        <w:rPr>
          <w:rFonts w:ascii="Open Sans" w:hAnsi="Open Sans" w:cs="Open Sans"/>
          <w:i/>
          <w:iCs/>
        </w:rPr>
        <w:t>Vienna University of Technology, Centre of Regional Science</w:t>
      </w:r>
      <w:r w:rsidRPr="003234DC">
        <w:rPr>
          <w:rFonts w:ascii="Open Sans" w:hAnsi="Open Sans" w:cs="Open Sans"/>
        </w:rPr>
        <w:t>.</w:t>
      </w:r>
    </w:p>
    <w:p w14:paraId="488811F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Gil-Garcia, J. R., Pardo, T. A., Nam, T. (2015). What makes a city smart? Identifying core components and proposing an integrative and comprehensive conceptualization. </w:t>
      </w:r>
      <w:r w:rsidRPr="003234DC">
        <w:rPr>
          <w:rFonts w:ascii="Open Sans" w:hAnsi="Open Sans" w:cs="Open Sans"/>
          <w:i/>
          <w:iCs/>
        </w:rPr>
        <w:t>Information Policy</w:t>
      </w:r>
      <w:r w:rsidRPr="003234DC">
        <w:rPr>
          <w:rFonts w:ascii="Open Sans" w:hAnsi="Open Sans" w:cs="Open Sans"/>
        </w:rPr>
        <w:t>, 20(1), pp. 61-87.</w:t>
      </w:r>
    </w:p>
    <w:p w14:paraId="272721A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Goh, Y. M., Love, P. E. D. (2012). Methodological application of system dynamics for evaluating traffic safety policy. </w:t>
      </w:r>
      <w:r w:rsidRPr="003234DC">
        <w:rPr>
          <w:rFonts w:ascii="Open Sans" w:hAnsi="Open Sans" w:cs="Open Sans"/>
          <w:i/>
          <w:iCs/>
        </w:rPr>
        <w:t>Safety science</w:t>
      </w:r>
      <w:r w:rsidRPr="003234DC">
        <w:rPr>
          <w:rFonts w:ascii="Open Sans" w:hAnsi="Open Sans" w:cs="Open Sans"/>
        </w:rPr>
        <w:t>, 50(7), pp. 1594-1605.</w:t>
      </w:r>
    </w:p>
    <w:p w14:paraId="2343D2F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Goldman, T., Gorham, R. (2006). Sustainable urban transport: Four innovative directions. </w:t>
      </w:r>
      <w:r w:rsidRPr="003234DC">
        <w:rPr>
          <w:rFonts w:ascii="Open Sans" w:hAnsi="Open Sans" w:cs="Open Sans"/>
          <w:i/>
          <w:iCs/>
        </w:rPr>
        <w:t>Technology in Society</w:t>
      </w:r>
      <w:r w:rsidRPr="003234DC">
        <w:rPr>
          <w:rFonts w:ascii="Open Sans" w:hAnsi="Open Sans" w:cs="Open Sans"/>
        </w:rPr>
        <w:t>, 28(1), pp. 261-273.</w:t>
      </w:r>
    </w:p>
    <w:p w14:paraId="7C016E3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Gonzalez-Feliu, J. (2018). </w:t>
      </w:r>
      <w:r w:rsidRPr="003234DC">
        <w:rPr>
          <w:rFonts w:ascii="Open Sans" w:hAnsi="Open Sans" w:cs="Open Sans"/>
          <w:i/>
          <w:iCs/>
        </w:rPr>
        <w:t>Sustainable Urban Logistics: Planning and Evaluation</w:t>
      </w:r>
      <w:r w:rsidRPr="003234DC">
        <w:rPr>
          <w:rFonts w:ascii="Open Sans" w:hAnsi="Open Sans" w:cs="Open Sans"/>
        </w:rPr>
        <w:t>, NJ: John Wiley &amp; Sons, Inc.</w:t>
      </w:r>
    </w:p>
    <w:p w14:paraId="5DEE83C1"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Griffin, T., Dimanche, F. (2017). Urban tourism: the growing role of VFR and immigration. </w:t>
      </w:r>
      <w:r w:rsidRPr="003234DC">
        <w:rPr>
          <w:rFonts w:ascii="Open Sans" w:hAnsi="Open Sans" w:cs="Open Sans"/>
          <w:i/>
          <w:iCs/>
        </w:rPr>
        <w:t>Journal of Tourism Futures</w:t>
      </w:r>
      <w:r w:rsidRPr="003234DC">
        <w:rPr>
          <w:rFonts w:ascii="Open Sans" w:hAnsi="Open Sans" w:cs="Open Sans"/>
        </w:rPr>
        <w:t>.</w:t>
      </w:r>
    </w:p>
    <w:p w14:paraId="2241777B"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Haghshenas, H., Vaziri, M., Gholamialam, A. (2015). Evaluation of sustainable policy in urban transportation using system dynamics and world cities data: A case study in Isfahan. </w:t>
      </w:r>
      <w:r w:rsidRPr="003234DC">
        <w:rPr>
          <w:rFonts w:ascii="Open Sans" w:hAnsi="Open Sans" w:cs="Open Sans"/>
          <w:i/>
          <w:iCs/>
        </w:rPr>
        <w:t>Cities</w:t>
      </w:r>
      <w:r w:rsidRPr="003234DC">
        <w:rPr>
          <w:rFonts w:ascii="Open Sans" w:hAnsi="Open Sans" w:cs="Open Sans"/>
        </w:rPr>
        <w:t>, 45, pp. 104-115.</w:t>
      </w:r>
    </w:p>
    <w:p w14:paraId="44916088"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Hall, R. E., Bowerman, B., Braverman, J., Taylor, J., Todosow, H., von Wimmersperg, U. (2000). The Vision of A Smart City. </w:t>
      </w:r>
      <w:r w:rsidRPr="003234DC">
        <w:rPr>
          <w:rFonts w:ascii="Open Sans" w:hAnsi="Open Sans" w:cs="Open Sans"/>
          <w:i/>
          <w:iCs/>
        </w:rPr>
        <w:t>2nd International Life Extension Technology Workshop</w:t>
      </w:r>
      <w:r w:rsidRPr="003234DC">
        <w:rPr>
          <w:rFonts w:ascii="Open Sans" w:hAnsi="Open Sans" w:cs="Open Sans"/>
        </w:rPr>
        <w:t>, Paris (FR), Brookhaven National Lab (BNL), Upton, NY (USA).</w:t>
      </w:r>
    </w:p>
    <w:p w14:paraId="183119C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Haraldsson, H. V. (2004). Introduction to system thinking and causal loop diagrams. </w:t>
      </w:r>
      <w:r w:rsidRPr="003234DC">
        <w:rPr>
          <w:rFonts w:ascii="Open Sans" w:hAnsi="Open Sans" w:cs="Open Sans"/>
          <w:i/>
          <w:iCs/>
        </w:rPr>
        <w:t>Department of chemical engineering, Lund University, Sweden</w:t>
      </w:r>
      <w:r w:rsidRPr="003234DC">
        <w:rPr>
          <w:rFonts w:ascii="Open Sans" w:hAnsi="Open Sans" w:cs="Open Sans"/>
        </w:rPr>
        <w:t>.</w:t>
      </w:r>
    </w:p>
    <w:p w14:paraId="2EB5942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Harris, J. M. (2000</w:t>
      </w:r>
      <w:r w:rsidRPr="003234DC">
        <w:rPr>
          <w:rFonts w:ascii="Open Sans" w:hAnsi="Open Sans" w:cs="Open Sans"/>
          <w:i/>
          <w:iCs/>
        </w:rPr>
        <w:t>). Basic Principles of Sustainable Development</w:t>
      </w:r>
      <w:r w:rsidRPr="003234DC">
        <w:rPr>
          <w:rFonts w:ascii="Open Sans" w:hAnsi="Open Sans" w:cs="Open Sans"/>
        </w:rPr>
        <w:t xml:space="preserve">, Working Paper, No. 00-04, Tuffs University, Global Development and Environment Institute, Medford, MA. Available at: </w:t>
      </w:r>
      <w:hyperlink r:id="rId94" w:history="1">
        <w:r w:rsidRPr="003234DC">
          <w:rPr>
            <w:rStyle w:val="Hiperveza"/>
            <w:rFonts w:ascii="Open Sans" w:hAnsi="Open Sans" w:cs="Open Sans"/>
            <w:color w:val="auto"/>
          </w:rPr>
          <w:t>https://notendur.hi.is/bdavids/UAU101/Readings/Harris_2000_Sustainable_development.pdf</w:t>
        </w:r>
      </w:hyperlink>
      <w:r w:rsidRPr="003234DC">
        <w:rPr>
          <w:rFonts w:ascii="Open Sans" w:hAnsi="Open Sans" w:cs="Open Sans"/>
        </w:rPr>
        <w:t xml:space="preserve"> (Accessed: June 04, 2021).</w:t>
      </w:r>
    </w:p>
    <w:p w14:paraId="07012E8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Harrison, C., Eckman, B., Hamilton, R., Hartswick, P., Kalagnanam, J., Paraszczak, J., Williams, P. (2010). Foundations for Smarter Cities. </w:t>
      </w:r>
      <w:r w:rsidRPr="003234DC">
        <w:rPr>
          <w:rFonts w:ascii="Open Sans" w:hAnsi="Open Sans" w:cs="Open Sans"/>
          <w:i/>
          <w:iCs/>
        </w:rPr>
        <w:t>IBM Journal of Research and Development</w:t>
      </w:r>
      <w:r w:rsidRPr="003234DC">
        <w:rPr>
          <w:rFonts w:ascii="Open Sans" w:hAnsi="Open Sans" w:cs="Open Sans"/>
        </w:rPr>
        <w:t>, 54(4), pp. 1-16.</w:t>
      </w:r>
    </w:p>
    <w:p w14:paraId="5362B7C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Hong, J., Chu, Z., Wang, Q. (2011). Transport infrastructure and regional economic growth: evidence from China. </w:t>
      </w:r>
      <w:r w:rsidRPr="003234DC">
        <w:rPr>
          <w:rFonts w:ascii="Open Sans" w:hAnsi="Open Sans" w:cs="Open Sans"/>
          <w:i/>
          <w:iCs/>
        </w:rPr>
        <w:t>Transportation</w:t>
      </w:r>
      <w:r w:rsidRPr="003234DC">
        <w:rPr>
          <w:rFonts w:ascii="Open Sans" w:hAnsi="Open Sans" w:cs="Open Sans"/>
        </w:rPr>
        <w:t>, 38(5), pp. 737-752.</w:t>
      </w:r>
    </w:p>
    <w:p w14:paraId="0D3112C1"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Hosseinali, F., Alesheikh, A. A., Nourian, F. (2013). Agent-based modeling of urban land-use development, case study: Simulating future scenarios of Qazvin city. </w:t>
      </w:r>
      <w:r w:rsidRPr="003234DC">
        <w:rPr>
          <w:rFonts w:ascii="Open Sans" w:hAnsi="Open Sans" w:cs="Open Sans"/>
          <w:i/>
          <w:iCs/>
        </w:rPr>
        <w:t>Cities</w:t>
      </w:r>
      <w:r w:rsidRPr="003234DC">
        <w:rPr>
          <w:rFonts w:ascii="Open Sans" w:hAnsi="Open Sans" w:cs="Open Sans"/>
        </w:rPr>
        <w:t>, 31, pp. 105-113.</w:t>
      </w:r>
    </w:p>
    <w:p w14:paraId="2EA93834"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Institute for Development and International Relations (2019). Predviđanja budućih potreba u sektorima demografije, turizma i ekonomije: Master studija o razvoju Splita ili Urbane aglomeracije. Available at: </w:t>
      </w:r>
      <w:hyperlink r:id="rId95" w:history="1">
        <w:r w:rsidRPr="003234DC">
          <w:rPr>
            <w:rStyle w:val="Hiperveza"/>
            <w:rFonts w:ascii="Open Sans" w:hAnsi="Open Sans" w:cs="Open Sans"/>
            <w:color w:val="auto"/>
          </w:rPr>
          <w:t>https://www.split.hr/DesktopModules/Bring2mind/DMX/API/Entries/Download?language=hr-HR&amp;Command=Core_Download&amp;EntryId=7695&amp;PortalId=0</w:t>
        </w:r>
      </w:hyperlink>
      <w:r w:rsidRPr="003234DC">
        <w:rPr>
          <w:rFonts w:ascii="Open Sans" w:hAnsi="Open Sans" w:cs="Open Sans"/>
        </w:rPr>
        <w:t xml:space="preserve"> (Accessed: July 28, 2021).</w:t>
      </w:r>
    </w:p>
    <w:p w14:paraId="2CDDDE4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Ismagilova, E., Hughes, L., Dwivedi, Y. K., Raman, K. R. (2019). Smart cities: Advances in research – An information system perspective. </w:t>
      </w:r>
      <w:r w:rsidRPr="003234DC">
        <w:rPr>
          <w:rFonts w:ascii="Open Sans" w:hAnsi="Open Sans" w:cs="Open Sans"/>
          <w:i/>
          <w:iCs/>
        </w:rPr>
        <w:t>International Journal of Information Management</w:t>
      </w:r>
      <w:r w:rsidRPr="003234DC">
        <w:rPr>
          <w:rFonts w:ascii="Open Sans" w:hAnsi="Open Sans" w:cs="Open Sans"/>
        </w:rPr>
        <w:t>, 47, pp. 88-100.</w:t>
      </w:r>
    </w:p>
    <w:p w14:paraId="56A6581C"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Jiang, J., Li, J., Xu, H. (2010). System Dynamics Model for Transportation Infrastructure Investment and Cultural Heritage Tourism Development: A Case Study of Xidi and Hongcun Historical Villages. </w:t>
      </w:r>
      <w:r w:rsidRPr="003234DC">
        <w:rPr>
          <w:rFonts w:ascii="Open Sans" w:hAnsi="Open Sans" w:cs="Open Sans"/>
          <w:i/>
          <w:iCs/>
        </w:rPr>
        <w:t>28th International System Dynamics Conference</w:t>
      </w:r>
      <w:r w:rsidRPr="003234DC">
        <w:rPr>
          <w:rFonts w:ascii="Open Sans" w:hAnsi="Open Sans" w:cs="Open Sans"/>
        </w:rPr>
        <w:t>, Seoul, Korea, 978.</w:t>
      </w:r>
    </w:p>
    <w:p w14:paraId="468F1B1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Kekez, I., Jadrić, M., Ćukušić, M. (2021). Demonstration Potential of Simulation Modelling in the Urban Mobility Domain</w:t>
      </w:r>
      <w:r w:rsidRPr="003234DC">
        <w:rPr>
          <w:rFonts w:ascii="Open Sans" w:hAnsi="Open Sans" w:cs="Open Sans"/>
          <w:i/>
          <w:iCs/>
        </w:rPr>
        <w:t>. The 16th International Symposium on Operations Research in Slovenia</w:t>
      </w:r>
      <w:r w:rsidRPr="003234DC">
        <w:rPr>
          <w:rFonts w:ascii="Open Sans" w:hAnsi="Open Sans" w:cs="Open Sans"/>
        </w:rPr>
        <w:t>, pp. 23-28.</w:t>
      </w:r>
    </w:p>
    <w:p w14:paraId="7B0F10ED"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Koglin, T. (2017). Urban mobilities and materialities – a cricital reflection of 'sustainable' urban development. </w:t>
      </w:r>
      <w:r w:rsidRPr="003234DC">
        <w:rPr>
          <w:rFonts w:ascii="Open Sans" w:hAnsi="Open Sans" w:cs="Open Sans"/>
          <w:i/>
          <w:iCs/>
        </w:rPr>
        <w:t>Applied Mobilities</w:t>
      </w:r>
      <w:r w:rsidRPr="003234DC">
        <w:rPr>
          <w:rFonts w:ascii="Open Sans" w:hAnsi="Open Sans" w:cs="Open Sans"/>
        </w:rPr>
        <w:t>, 2, pp. 32-49.</w:t>
      </w:r>
    </w:p>
    <w:p w14:paraId="0C09508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Lankauskiene, T., Tvaronavičiene, M. (2012). Security and Sustainable Development: Approaches and Dimensions in the Globalization Context. </w:t>
      </w:r>
      <w:r w:rsidRPr="003234DC">
        <w:rPr>
          <w:rFonts w:ascii="Open Sans" w:hAnsi="Open Sans" w:cs="Open Sans"/>
          <w:i/>
          <w:iCs/>
        </w:rPr>
        <w:t>Journal of Security and Sustainability Issues</w:t>
      </w:r>
      <w:r w:rsidRPr="003234DC">
        <w:rPr>
          <w:rFonts w:ascii="Open Sans" w:hAnsi="Open Sans" w:cs="Open Sans"/>
        </w:rPr>
        <w:t>, 1(4), pp. 287-297.</w:t>
      </w:r>
    </w:p>
    <w:p w14:paraId="5C64262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Lee, J., Arts, J., Vanclay, F., Ward, J. (2020). Examining the Social Qutcomes from Urban Transport Infrastructure: Long-Term Consequences of Spatial Changes and Varied Interests at Multiple Levels. </w:t>
      </w:r>
      <w:r w:rsidRPr="003234DC">
        <w:rPr>
          <w:rFonts w:ascii="Open Sans" w:hAnsi="Open Sans" w:cs="Open Sans"/>
          <w:i/>
          <w:iCs/>
        </w:rPr>
        <w:t>Sustainability 2020</w:t>
      </w:r>
      <w:r w:rsidRPr="003234DC">
        <w:rPr>
          <w:rFonts w:ascii="Open Sans" w:hAnsi="Open Sans" w:cs="Open Sans"/>
        </w:rPr>
        <w:t>, 12(15), 5907.</w:t>
      </w:r>
    </w:p>
    <w:p w14:paraId="0919C7AC"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Maria, A. (1997). Introduction to modeling and simulation. </w:t>
      </w:r>
      <w:r w:rsidRPr="003234DC">
        <w:rPr>
          <w:rFonts w:ascii="Open Sans" w:hAnsi="Open Sans" w:cs="Open Sans"/>
          <w:i/>
          <w:iCs/>
        </w:rPr>
        <w:t>Proceedings of the 1997 Winter Simulation Conference</w:t>
      </w:r>
      <w:r w:rsidRPr="003234DC">
        <w:rPr>
          <w:rFonts w:ascii="Open Sans" w:hAnsi="Open Sans" w:cs="Open Sans"/>
        </w:rPr>
        <w:t>, pp. 7-13.</w:t>
      </w:r>
    </w:p>
    <w:p w14:paraId="3D0DC8DB"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Mäki, U. (2005). Models are experiments, experiments are models. </w:t>
      </w:r>
      <w:r w:rsidRPr="003234DC">
        <w:rPr>
          <w:rFonts w:ascii="Open Sans" w:hAnsi="Open Sans" w:cs="Open Sans"/>
          <w:i/>
          <w:iCs/>
        </w:rPr>
        <w:t>Journal of Economic Methodology</w:t>
      </w:r>
      <w:r w:rsidRPr="003234DC">
        <w:rPr>
          <w:rFonts w:ascii="Open Sans" w:hAnsi="Open Sans" w:cs="Open Sans"/>
        </w:rPr>
        <w:t>, 12(2), pp. 303-315.</w:t>
      </w:r>
    </w:p>
    <w:p w14:paraId="54DF5C5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Morchadze, T., Rusadze, N. (2018). Ways to address the challenges in passenger traffic within the urban transport systems. </w:t>
      </w:r>
      <w:r w:rsidRPr="003234DC">
        <w:rPr>
          <w:rFonts w:ascii="Open Sans" w:hAnsi="Open Sans" w:cs="Open Sans"/>
          <w:i/>
          <w:iCs/>
        </w:rPr>
        <w:t>Transport problems</w:t>
      </w:r>
      <w:r w:rsidRPr="003234DC">
        <w:rPr>
          <w:rFonts w:ascii="Open Sans" w:hAnsi="Open Sans" w:cs="Open Sans"/>
        </w:rPr>
        <w:t>, 13(3), pp. 65-77.</w:t>
      </w:r>
    </w:p>
    <w:p w14:paraId="17E5525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Ninčević Pašalić, I., Ćukušić, M., Jadrić, M. (2020). Smart city research advances in Southeast Europe. </w:t>
      </w:r>
      <w:r w:rsidRPr="003234DC">
        <w:rPr>
          <w:rFonts w:ascii="Open Sans" w:hAnsi="Open Sans" w:cs="Open Sans"/>
          <w:i/>
          <w:iCs/>
        </w:rPr>
        <w:t>International Journal of Informational Management</w:t>
      </w:r>
      <w:r w:rsidRPr="003234DC">
        <w:rPr>
          <w:rFonts w:ascii="Open Sans" w:hAnsi="Open Sans" w:cs="Open Sans"/>
        </w:rPr>
        <w:t>, 58, 102127.</w:t>
      </w:r>
    </w:p>
    <w:p w14:paraId="53948EF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Ngossaha, J. M., Ngouna, R. H., Archimede, B., Ndjodo, M. F. (2018). A Simulation Model for Risk Assessment in a Smart Mobility Ecosystem Based on the Inoperability Input-Output Theory. </w:t>
      </w:r>
      <w:r w:rsidRPr="003234DC">
        <w:rPr>
          <w:rFonts w:ascii="Open Sans" w:hAnsi="Open Sans" w:cs="Open Sans"/>
          <w:i/>
          <w:iCs/>
        </w:rPr>
        <w:t>SummerSim '18: Proceedings of the 50th Computer Simulation Conference</w:t>
      </w:r>
      <w:r w:rsidRPr="003234DC">
        <w:rPr>
          <w:rFonts w:ascii="Open Sans" w:hAnsi="Open Sans" w:cs="Open Sans"/>
        </w:rPr>
        <w:t>.</w:t>
      </w:r>
    </w:p>
    <w:p w14:paraId="053CD4B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Nguyen, T., Cook, S., Ireland, V. (2017). Application of System Dynamics to Evaluate the Social and Economic Benefits of Infrastructure Projects. </w:t>
      </w:r>
      <w:r w:rsidRPr="003234DC">
        <w:rPr>
          <w:rFonts w:ascii="Open Sans" w:hAnsi="Open Sans" w:cs="Open Sans"/>
          <w:i/>
          <w:iCs/>
        </w:rPr>
        <w:t>Systems</w:t>
      </w:r>
      <w:r w:rsidRPr="003234DC">
        <w:rPr>
          <w:rFonts w:ascii="Open Sans" w:hAnsi="Open Sans" w:cs="Open Sans"/>
        </w:rPr>
        <w:t>, 5(2), 29.</w:t>
      </w:r>
    </w:p>
    <w:p w14:paraId="09B98BE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Noto, G. (2017). Combining system dynamics and perfomance management to support sustainable urban transportation planning. </w:t>
      </w:r>
      <w:r w:rsidRPr="003234DC">
        <w:rPr>
          <w:rFonts w:ascii="Open Sans" w:hAnsi="Open Sans" w:cs="Open Sans"/>
          <w:i/>
          <w:iCs/>
        </w:rPr>
        <w:t>Journal of Urban and Regional Analysis</w:t>
      </w:r>
      <w:r w:rsidRPr="003234DC">
        <w:rPr>
          <w:rFonts w:ascii="Open Sans" w:hAnsi="Open Sans" w:cs="Open Sans"/>
        </w:rPr>
        <w:t>, 9(1), pp. 51-71.</w:t>
      </w:r>
    </w:p>
    <w:p w14:paraId="2E382C4D"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Ojha, A., Corns, S., Shoberg, T., Qin, R., Long, S. (2018). Modeling and Simulation of Emergent Behavior in Transportation Infrastructure Restoration. In: Mittal, S., Diallo, S., Tolk, A. (eds.) </w:t>
      </w:r>
      <w:r w:rsidRPr="003234DC">
        <w:rPr>
          <w:rFonts w:ascii="Open Sans" w:hAnsi="Open Sans" w:cs="Open Sans"/>
          <w:i/>
          <w:iCs/>
        </w:rPr>
        <w:t>Emergent Behavior in Complex Systems Engineering: A Modeling Simulation Approach</w:t>
      </w:r>
      <w:r w:rsidRPr="003234DC">
        <w:rPr>
          <w:rFonts w:ascii="Open Sans" w:hAnsi="Open Sans" w:cs="Open Sans"/>
        </w:rPr>
        <w:t>, John Wiley &amp; Sons, Inc., pp. 349-365.</w:t>
      </w:r>
    </w:p>
    <w:p w14:paraId="3C085F9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Pawlowski, A. (2009). The Sustainable Development Revolution. </w:t>
      </w:r>
      <w:r w:rsidRPr="003234DC">
        <w:rPr>
          <w:rFonts w:ascii="Open Sans" w:hAnsi="Open Sans" w:cs="Open Sans"/>
          <w:i/>
          <w:iCs/>
        </w:rPr>
        <w:t>Problems of Sustainable Development</w:t>
      </w:r>
      <w:r w:rsidRPr="003234DC">
        <w:rPr>
          <w:rFonts w:ascii="Open Sans" w:hAnsi="Open Sans" w:cs="Open Sans"/>
        </w:rPr>
        <w:t>, 4(1), pp. 65-76.</w:t>
      </w:r>
    </w:p>
    <w:p w14:paraId="2847E0A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Richardson, G. P. (1986). Problems with causal-loop diagrams. </w:t>
      </w:r>
      <w:r w:rsidRPr="003234DC">
        <w:rPr>
          <w:rFonts w:ascii="Open Sans" w:hAnsi="Open Sans" w:cs="Open Sans"/>
          <w:i/>
          <w:iCs/>
        </w:rPr>
        <w:t>System Dynamics Review</w:t>
      </w:r>
      <w:r w:rsidRPr="003234DC">
        <w:rPr>
          <w:rFonts w:ascii="Open Sans" w:hAnsi="Open Sans" w:cs="Open Sans"/>
        </w:rPr>
        <w:t>, 2(2), pp. 158-170.</w:t>
      </w:r>
    </w:p>
    <w:p w14:paraId="6881198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Richardson, G. P., Otto, P. (2008). Applications of system dynamics in marketing: Editorial. </w:t>
      </w:r>
      <w:r w:rsidRPr="003234DC">
        <w:rPr>
          <w:rFonts w:ascii="Open Sans" w:hAnsi="Open Sans" w:cs="Open Sans"/>
          <w:i/>
          <w:iCs/>
        </w:rPr>
        <w:t>Journal of Business Research</w:t>
      </w:r>
      <w:r w:rsidRPr="003234DC">
        <w:rPr>
          <w:rFonts w:ascii="Open Sans" w:hAnsi="Open Sans" w:cs="Open Sans"/>
        </w:rPr>
        <w:t>, 61, pp. 1099-1101.</w:t>
      </w:r>
    </w:p>
    <w:p w14:paraId="3BBCAA0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Richmond, B. (1994). Systems thinking/system dynamics: let's just get on with it. </w:t>
      </w:r>
      <w:r w:rsidRPr="003234DC">
        <w:rPr>
          <w:rFonts w:ascii="Open Sans" w:hAnsi="Open Sans" w:cs="Open Sans"/>
          <w:i/>
          <w:iCs/>
        </w:rPr>
        <w:t>System Dynamic Review</w:t>
      </w:r>
      <w:r w:rsidRPr="003234DC">
        <w:rPr>
          <w:rFonts w:ascii="Open Sans" w:hAnsi="Open Sans" w:cs="Open Sans"/>
        </w:rPr>
        <w:t>, 10(2-3), pp. 135-157.</w:t>
      </w:r>
    </w:p>
    <w:p w14:paraId="4FD4B16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Rodrigue, J. P., Comtois, C., Slack, B. (2013). </w:t>
      </w:r>
      <w:r w:rsidRPr="003234DC">
        <w:rPr>
          <w:rFonts w:ascii="Open Sans" w:hAnsi="Open Sans" w:cs="Open Sans"/>
          <w:i/>
          <w:iCs/>
        </w:rPr>
        <w:t>The Geography of Transport Systems</w:t>
      </w:r>
      <w:r w:rsidRPr="003234DC">
        <w:rPr>
          <w:rFonts w:ascii="Open Sans" w:hAnsi="Open Sans" w:cs="Open Sans"/>
        </w:rPr>
        <w:t xml:space="preserve"> (Third Edition), New York: Routledge.</w:t>
      </w:r>
    </w:p>
    <w:p w14:paraId="2DA69FD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Rodrigues, A., Bowers, J. (1996). The role of system dynamics in project management. </w:t>
      </w:r>
      <w:r w:rsidRPr="003234DC">
        <w:rPr>
          <w:rFonts w:ascii="Open Sans" w:hAnsi="Open Sans" w:cs="Open Sans"/>
          <w:i/>
          <w:iCs/>
        </w:rPr>
        <w:t>International Journal of Project Management</w:t>
      </w:r>
      <w:r w:rsidRPr="003234DC">
        <w:rPr>
          <w:rFonts w:ascii="Open Sans" w:hAnsi="Open Sans" w:cs="Open Sans"/>
        </w:rPr>
        <w:t>, 14(4), pp. 213-220.</w:t>
      </w:r>
    </w:p>
    <w:p w14:paraId="6C4F2318"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Saidi, S., Mani, V., Mefteh, H., Shahbaz, M., Akhtar, P. (2020). Dynamic linkages between transport, logistics, foreign direct investment, and economic growth: Empirical evidence from developing countries. </w:t>
      </w:r>
      <w:r w:rsidRPr="003234DC">
        <w:rPr>
          <w:rFonts w:ascii="Open Sans" w:hAnsi="Open Sans" w:cs="Open Sans"/>
          <w:i/>
          <w:iCs/>
        </w:rPr>
        <w:t>Transportation Research Part A: Policy and Practice</w:t>
      </w:r>
      <w:r w:rsidRPr="003234DC">
        <w:rPr>
          <w:rFonts w:ascii="Open Sans" w:hAnsi="Open Sans" w:cs="Open Sans"/>
        </w:rPr>
        <w:t>, 141, pp. 277-293.</w:t>
      </w:r>
    </w:p>
    <w:p w14:paraId="330232B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Seidewitz, E. (2003): What models mean. </w:t>
      </w:r>
      <w:r w:rsidRPr="003234DC">
        <w:rPr>
          <w:rFonts w:ascii="Open Sans" w:hAnsi="Open Sans" w:cs="Open Sans"/>
          <w:i/>
          <w:iCs/>
        </w:rPr>
        <w:t>IEEE Software</w:t>
      </w:r>
      <w:r w:rsidRPr="003234DC">
        <w:rPr>
          <w:rFonts w:ascii="Open Sans" w:hAnsi="Open Sans" w:cs="Open Sans"/>
        </w:rPr>
        <w:t>, 20(5), pp. 26-32.</w:t>
      </w:r>
    </w:p>
    <w:p w14:paraId="765FD4E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Skorobogatova, O., Kuzmina-Merlino, I. (2017). Transport Infrastructure Development Perfomance. </w:t>
      </w:r>
      <w:r w:rsidRPr="003234DC">
        <w:rPr>
          <w:rFonts w:ascii="Open Sans" w:hAnsi="Open Sans" w:cs="Open Sans"/>
          <w:i/>
          <w:iCs/>
        </w:rPr>
        <w:t>Procedia Engineering</w:t>
      </w:r>
      <w:r w:rsidRPr="003234DC">
        <w:rPr>
          <w:rFonts w:ascii="Open Sans" w:hAnsi="Open Sans" w:cs="Open Sans"/>
        </w:rPr>
        <w:t>, 178, pp. 319-329.</w:t>
      </w:r>
    </w:p>
    <w:p w14:paraId="557817A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Shao, G., Fulong, L., Tang, L (2011). Multidisciplinary perspectives on sustainable development. </w:t>
      </w:r>
      <w:r w:rsidRPr="003234DC">
        <w:rPr>
          <w:rFonts w:ascii="Open Sans" w:hAnsi="Open Sans" w:cs="Open Sans"/>
          <w:i/>
          <w:iCs/>
        </w:rPr>
        <w:t>International Journal of Sustainable Development &amp; World Ecology</w:t>
      </w:r>
      <w:r w:rsidRPr="003234DC">
        <w:rPr>
          <w:rFonts w:ascii="Open Sans" w:hAnsi="Open Sans" w:cs="Open Sans"/>
        </w:rPr>
        <w:t>, 18(3), pp. 187-189.</w:t>
      </w:r>
    </w:p>
    <w:p w14:paraId="7B31660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Shen, L., Du, L., Yang, X., Du, X., Wang, J., Hao, J. (2018). Sustainable Strategies for Transportation Development in Emerging Cities in China: A Simulation Approach. </w:t>
      </w:r>
      <w:r w:rsidRPr="003234DC">
        <w:rPr>
          <w:rFonts w:ascii="Open Sans" w:hAnsi="Open Sans" w:cs="Open Sans"/>
          <w:i/>
          <w:iCs/>
        </w:rPr>
        <w:t>Sustainability</w:t>
      </w:r>
      <w:r w:rsidRPr="003234DC">
        <w:rPr>
          <w:rFonts w:ascii="Open Sans" w:hAnsi="Open Sans" w:cs="Open Sans"/>
        </w:rPr>
        <w:t>, 10(3), 884.</w:t>
      </w:r>
    </w:p>
    <w:p w14:paraId="3123B8A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Shen, Q., Chen, Q., Tang, B. S., Yeung, S., Hu, Y., Cheung, G. (2009). A system dynamics model for the sustainable land use planning and development. </w:t>
      </w:r>
      <w:r w:rsidRPr="003234DC">
        <w:rPr>
          <w:rFonts w:ascii="Open Sans" w:hAnsi="Open Sans" w:cs="Open Sans"/>
          <w:i/>
          <w:iCs/>
        </w:rPr>
        <w:t>Habitat International</w:t>
      </w:r>
      <w:r w:rsidRPr="003234DC">
        <w:rPr>
          <w:rFonts w:ascii="Open Sans" w:hAnsi="Open Sans" w:cs="Open Sans"/>
        </w:rPr>
        <w:t>, 33(1), pp. 15-25.</w:t>
      </w:r>
    </w:p>
    <w:p w14:paraId="42702C7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Shepherd, R. B. (2014). A review of system dynamics models applied in transportation. </w:t>
      </w:r>
      <w:r w:rsidRPr="003234DC">
        <w:rPr>
          <w:rFonts w:ascii="Open Sans" w:hAnsi="Open Sans" w:cs="Open Sans"/>
          <w:i/>
          <w:iCs/>
        </w:rPr>
        <w:t>Transportmetrica B: Transport Dynamics</w:t>
      </w:r>
      <w:r w:rsidRPr="003234DC">
        <w:rPr>
          <w:rFonts w:ascii="Open Sans" w:hAnsi="Open Sans" w:cs="Open Sans"/>
        </w:rPr>
        <w:t>, 2(2), pp. 83-105.</w:t>
      </w:r>
    </w:p>
    <w:p w14:paraId="6467DCB3"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Short, J., Kopp, A. (2005). Transport infrastructure: Investment and planning. Policy and research aspects. </w:t>
      </w:r>
      <w:r w:rsidRPr="003234DC">
        <w:rPr>
          <w:rFonts w:ascii="Open Sans" w:hAnsi="Open Sans" w:cs="Open Sans"/>
          <w:i/>
          <w:iCs/>
        </w:rPr>
        <w:t>Transport Policy</w:t>
      </w:r>
      <w:r w:rsidRPr="003234DC">
        <w:rPr>
          <w:rFonts w:ascii="Open Sans" w:hAnsi="Open Sans" w:cs="Open Sans"/>
        </w:rPr>
        <w:t>, 12(4), pp. 360-367.</w:t>
      </w:r>
    </w:p>
    <w:p w14:paraId="7F8AB3B0"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Sterman, J. D. (2000). </w:t>
      </w:r>
      <w:r w:rsidRPr="003234DC">
        <w:rPr>
          <w:rFonts w:ascii="Open Sans" w:hAnsi="Open Sans" w:cs="Open Sans"/>
          <w:i/>
          <w:iCs/>
        </w:rPr>
        <w:t>Business Dynamics: System thinking and Modeling for a Complex World</w:t>
      </w:r>
      <w:r w:rsidRPr="003234DC">
        <w:rPr>
          <w:rFonts w:ascii="Open Sans" w:hAnsi="Open Sans" w:cs="Open Sans"/>
        </w:rPr>
        <w:t>, The McGraw-Hill, Boston, USA.</w:t>
      </w:r>
    </w:p>
    <w:p w14:paraId="071C600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Sterman, J. D. (2001). System Dynamics Modeling: Tools for Learning in a Complex World. </w:t>
      </w:r>
      <w:r w:rsidRPr="003234DC">
        <w:rPr>
          <w:rFonts w:ascii="Open Sans" w:hAnsi="Open Sans" w:cs="Open Sans"/>
          <w:i/>
          <w:iCs/>
        </w:rPr>
        <w:t>California management review</w:t>
      </w:r>
      <w:r w:rsidRPr="003234DC">
        <w:rPr>
          <w:rFonts w:ascii="Open Sans" w:hAnsi="Open Sans" w:cs="Open Sans"/>
        </w:rPr>
        <w:t>, 43(4), pp. 8-25.</w:t>
      </w:r>
    </w:p>
    <w:p w14:paraId="669C8E0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Sterman, J. D. (2002). </w:t>
      </w:r>
      <w:r w:rsidRPr="003234DC">
        <w:rPr>
          <w:rFonts w:ascii="Open Sans" w:hAnsi="Open Sans" w:cs="Open Sans"/>
          <w:i/>
          <w:iCs/>
        </w:rPr>
        <w:t>System Dynamics: System Thinking and Modeling for a Complex World</w:t>
      </w:r>
      <w:r w:rsidRPr="003234DC">
        <w:rPr>
          <w:rFonts w:ascii="Open Sans" w:hAnsi="Open Sans" w:cs="Open Sans"/>
        </w:rPr>
        <w:t xml:space="preserve">, Working Paper Series, EDS-WP-2003-01.13, Massachusetts Institute of Technology, USA. Available at: </w:t>
      </w:r>
      <w:hyperlink r:id="rId96" w:history="1">
        <w:r w:rsidRPr="003234DC">
          <w:rPr>
            <w:rStyle w:val="Hiperveza"/>
            <w:rFonts w:ascii="Open Sans" w:hAnsi="Open Sans" w:cs="Open Sans"/>
            <w:color w:val="auto"/>
          </w:rPr>
          <w:t>https://dspace.mit.edu/bitstream/handle/1721.1/102741/esd-wp-2003-01.13.pdf?sequence=1</w:t>
        </w:r>
      </w:hyperlink>
      <w:r w:rsidRPr="003234DC">
        <w:rPr>
          <w:rFonts w:ascii="Open Sans" w:hAnsi="Open Sans" w:cs="Open Sans"/>
        </w:rPr>
        <w:t xml:space="preserve"> (Accessed: October 02, 2021).</w:t>
      </w:r>
    </w:p>
    <w:p w14:paraId="1F01D08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Suryani, E., Hendrawan, R. A., Adipraja, P. F. E., Widodo, B., Rahmawati, U. E., Chou, S. Y. (2022). Dynamic scenario to mitigate carbon emissions of transportation system: A system thinking approach. </w:t>
      </w:r>
      <w:r w:rsidRPr="003234DC">
        <w:rPr>
          <w:rFonts w:ascii="Open Sans" w:hAnsi="Open Sans" w:cs="Open Sans"/>
          <w:i/>
          <w:iCs/>
        </w:rPr>
        <w:t>Procedia Computer Science</w:t>
      </w:r>
      <w:r w:rsidRPr="003234DC">
        <w:rPr>
          <w:rFonts w:ascii="Open Sans" w:hAnsi="Open Sans" w:cs="Open Sans"/>
        </w:rPr>
        <w:t>, 197, pp. 635-641.</w:t>
      </w:r>
    </w:p>
    <w:p w14:paraId="23A99C0B"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Titos, G., Lyamani, H., Drinovec, L., Olmo, F. J., Močnik, G., Alados-Arboledas, L. (2015). Evaluation of the impact of transportation changes on air quality. </w:t>
      </w:r>
      <w:r w:rsidRPr="003234DC">
        <w:rPr>
          <w:rFonts w:ascii="Open Sans" w:hAnsi="Open Sans" w:cs="Open Sans"/>
          <w:i/>
          <w:iCs/>
        </w:rPr>
        <w:t>Atmosferic Environment</w:t>
      </w:r>
      <w:r w:rsidRPr="003234DC">
        <w:rPr>
          <w:rFonts w:ascii="Open Sans" w:hAnsi="Open Sans" w:cs="Open Sans"/>
        </w:rPr>
        <w:t>, 114, pp. 19-31.</w:t>
      </w:r>
    </w:p>
    <w:p w14:paraId="3CD4130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Tourist Board of the City of Split (2017). Strateški marketinški plan destinacije Split 2017-2022. Available at: </w:t>
      </w:r>
      <w:hyperlink r:id="rId97" w:history="1">
        <w:r w:rsidRPr="003234DC">
          <w:rPr>
            <w:rStyle w:val="Hiperveza"/>
            <w:rFonts w:ascii="Open Sans" w:hAnsi="Open Sans" w:cs="Open Sans"/>
            <w:color w:val="auto"/>
          </w:rPr>
          <w:t>https://visitsplit.com/hr/3136/strateski-marketing-plan</w:t>
        </w:r>
      </w:hyperlink>
      <w:r w:rsidRPr="003234DC">
        <w:rPr>
          <w:rFonts w:ascii="Open Sans" w:hAnsi="Open Sans" w:cs="Open Sans"/>
        </w:rPr>
        <w:t xml:space="preserve"> (Accessed: July 28, 2021).</w:t>
      </w:r>
    </w:p>
    <w:p w14:paraId="2EEB0D39"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United Nations (2019). World Urbanization Prospects: The 2018 Revision. Available at: </w:t>
      </w:r>
      <w:hyperlink r:id="rId98" w:history="1">
        <w:r w:rsidRPr="003234DC">
          <w:rPr>
            <w:rStyle w:val="Hiperveza"/>
            <w:rFonts w:ascii="Open Sans" w:hAnsi="Open Sans" w:cs="Open Sans"/>
            <w:color w:val="auto"/>
          </w:rPr>
          <w:t>https://population.un.org/wup/Publications/Files/WUP2018-Report.pdf</w:t>
        </w:r>
      </w:hyperlink>
      <w:r w:rsidRPr="003234DC">
        <w:rPr>
          <w:rFonts w:ascii="Open Sans" w:hAnsi="Open Sans" w:cs="Open Sans"/>
        </w:rPr>
        <w:t xml:space="preserve"> (Accessed: June 19, 2021).</w:t>
      </w:r>
    </w:p>
    <w:p w14:paraId="0A670C1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UNWTO (n.d.). Glossary of Tourism Terms. Available at: </w:t>
      </w:r>
      <w:hyperlink r:id="rId99" w:anchor=":~:text=Tourism%20is%20a%20social%2C%20cultural,personal%20or%20business%2Fprofessional%20purposes" w:history="1">
        <w:r w:rsidRPr="003234DC">
          <w:rPr>
            <w:rStyle w:val="Hiperveza"/>
            <w:rFonts w:ascii="Open Sans" w:hAnsi="Open Sans" w:cs="Open Sans"/>
            <w:color w:val="auto"/>
          </w:rPr>
          <w:t>https://www.unwto.org/glossary-tourism-terms#:~:text=Tourism%20is%20a%20social%2C%20cultural,personal%20or%20business%2Fprofessional%20purposes</w:t>
        </w:r>
      </w:hyperlink>
      <w:r w:rsidRPr="003234DC">
        <w:rPr>
          <w:rFonts w:ascii="Open Sans" w:hAnsi="Open Sans" w:cs="Open Sans"/>
        </w:rPr>
        <w:t>. (Accessed: October 02, 2021).</w:t>
      </w:r>
    </w:p>
    <w:p w14:paraId="2E4793A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Waddel, P. (2002). UrbanSim: Modeling Urban Development for Land Use, Transportation and Environmental Planning. </w:t>
      </w:r>
      <w:r w:rsidRPr="003234DC">
        <w:rPr>
          <w:rFonts w:ascii="Open Sans" w:hAnsi="Open Sans" w:cs="Open Sans"/>
          <w:i/>
          <w:iCs/>
        </w:rPr>
        <w:t>Journal of the American Planning Association</w:t>
      </w:r>
      <w:r w:rsidRPr="003234DC">
        <w:rPr>
          <w:rFonts w:ascii="Open Sans" w:hAnsi="Open Sans" w:cs="Open Sans"/>
        </w:rPr>
        <w:t>, 68(3), pp. 297-314.</w:t>
      </w:r>
    </w:p>
    <w:p w14:paraId="0AF8BB46"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Wang, J., Lu, H., Peng, H. (2008). System dynamics model of urban transportation system and its application. </w:t>
      </w:r>
      <w:r w:rsidRPr="003234DC">
        <w:rPr>
          <w:rFonts w:ascii="Open Sans" w:hAnsi="Open Sans" w:cs="Open Sans"/>
          <w:i/>
          <w:iCs/>
        </w:rPr>
        <w:t>Journal of Transportation Systems engineering and information technology</w:t>
      </w:r>
      <w:r w:rsidRPr="003234DC">
        <w:rPr>
          <w:rFonts w:ascii="Open Sans" w:hAnsi="Open Sans" w:cs="Open Sans"/>
        </w:rPr>
        <w:t>, 8(3), pp. 83-89.</w:t>
      </w:r>
    </w:p>
    <w:p w14:paraId="03353018"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Wang, L., Xue, X., Zhao, Z., Wang, Z. (2018). The Impacts of Transportation Infrastructure on Sustainable Development: Emerging Trends and Challenges. </w:t>
      </w:r>
      <w:r w:rsidRPr="003234DC">
        <w:rPr>
          <w:rFonts w:ascii="Open Sans" w:hAnsi="Open Sans" w:cs="Open Sans"/>
          <w:i/>
          <w:iCs/>
        </w:rPr>
        <w:t>International Journal of Environmental Research and Public Health</w:t>
      </w:r>
      <w:r w:rsidRPr="003234DC">
        <w:rPr>
          <w:rFonts w:ascii="Open Sans" w:hAnsi="Open Sans" w:cs="Open Sans"/>
        </w:rPr>
        <w:t>, 15(6), 1172.</w:t>
      </w:r>
    </w:p>
    <w:p w14:paraId="2A82BD05"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Wen, L., Bai, L. (2017). System dynamics modeling and policy simulation for urban traffic: a case study in Beijing. </w:t>
      </w:r>
      <w:r w:rsidRPr="003234DC">
        <w:rPr>
          <w:rFonts w:ascii="Open Sans" w:hAnsi="Open Sans" w:cs="Open Sans"/>
          <w:i/>
          <w:iCs/>
        </w:rPr>
        <w:t>Environmental Modeling &amp; Assessment</w:t>
      </w:r>
      <w:r w:rsidRPr="003234DC">
        <w:rPr>
          <w:rFonts w:ascii="Open Sans" w:hAnsi="Open Sans" w:cs="Open Sans"/>
        </w:rPr>
        <w:t>, 22(4), pp. 363-378.</w:t>
      </w:r>
    </w:p>
    <w:p w14:paraId="749A3A6A"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Wolstenholme, E. F. (1982). System Dynamics in Perspective. </w:t>
      </w:r>
      <w:r w:rsidRPr="003234DC">
        <w:rPr>
          <w:rFonts w:ascii="Open Sans" w:hAnsi="Open Sans" w:cs="Open Sans"/>
          <w:i/>
          <w:iCs/>
        </w:rPr>
        <w:t>Journal of the Operational Research Society</w:t>
      </w:r>
      <w:r w:rsidRPr="003234DC">
        <w:rPr>
          <w:rFonts w:ascii="Open Sans" w:hAnsi="Open Sans" w:cs="Open Sans"/>
        </w:rPr>
        <w:t>, 33(6), pp. 547-556.</w:t>
      </w:r>
    </w:p>
    <w:p w14:paraId="5BBFDDEE"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World Commission on Environment and Development (1987). Our common future, Oxford: Oxford University Press. Available at: </w:t>
      </w:r>
      <w:hyperlink r:id="rId100" w:history="1">
        <w:r w:rsidRPr="003234DC">
          <w:rPr>
            <w:rStyle w:val="Hiperveza"/>
            <w:rFonts w:ascii="Open Sans" w:hAnsi="Open Sans" w:cs="Open Sans"/>
            <w:color w:val="auto"/>
          </w:rPr>
          <w:t>https://sustainabledevelopment.un.org/content/documents/5987our-common-future.pdf</w:t>
        </w:r>
      </w:hyperlink>
      <w:r w:rsidRPr="003234DC">
        <w:rPr>
          <w:rFonts w:ascii="Open Sans" w:hAnsi="Open Sans" w:cs="Open Sans"/>
        </w:rPr>
        <w:t xml:space="preserve"> (Accessed: June 04, 2021).</w:t>
      </w:r>
    </w:p>
    <w:p w14:paraId="6AB1E32D"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Xue, Y., Cheng, L., Wang, K., An, J., Guan, H. (2020). System Dynamics Analysis of the Relationship between Transit Metropolis Construction and Sustainable Development of Urban Transportation – Case Study of Nanchang City, China. </w:t>
      </w:r>
      <w:r w:rsidRPr="003234DC">
        <w:rPr>
          <w:rFonts w:ascii="Open Sans" w:hAnsi="Open Sans" w:cs="Open Sans"/>
          <w:i/>
          <w:iCs/>
        </w:rPr>
        <w:t>Sustainability</w:t>
      </w:r>
      <w:r w:rsidRPr="003234DC">
        <w:rPr>
          <w:rFonts w:ascii="Open Sans" w:hAnsi="Open Sans" w:cs="Open Sans"/>
        </w:rPr>
        <w:t>, 12(7), 3028.</w:t>
      </w:r>
    </w:p>
    <w:p w14:paraId="45652EE2"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lastRenderedPageBreak/>
        <w:t xml:space="preserve">Xueliang, Z. (2013). Has Transport Infrastructure Promoted Regional conomic Growth? – With an Analysis of the Spatial Spillover Effects of Transport Infrastructure. </w:t>
      </w:r>
      <w:r w:rsidRPr="003234DC">
        <w:rPr>
          <w:rFonts w:ascii="Open Sans" w:hAnsi="Open Sans" w:cs="Open Sans"/>
          <w:i/>
          <w:iCs/>
        </w:rPr>
        <w:t>Social Sciences in China</w:t>
      </w:r>
      <w:r w:rsidRPr="003234DC">
        <w:rPr>
          <w:rFonts w:ascii="Open Sans" w:hAnsi="Open Sans" w:cs="Open Sans"/>
        </w:rPr>
        <w:t>, 34(2), pp. 24-47.</w:t>
      </w:r>
    </w:p>
    <w:p w14:paraId="55C45F67"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Yu, B., Zhang, C., Kong, L., Bao, H. L., Wang, W. S., Ke, S., Ning, G. (2014). System dynamics modeling for land transportation system in a port city. </w:t>
      </w:r>
      <w:r w:rsidRPr="003234DC">
        <w:rPr>
          <w:rFonts w:ascii="Open Sans" w:hAnsi="Open Sans" w:cs="Open Sans"/>
          <w:i/>
          <w:iCs/>
        </w:rPr>
        <w:t>Simulation</w:t>
      </w:r>
      <w:r w:rsidRPr="003234DC">
        <w:rPr>
          <w:rFonts w:ascii="Open Sans" w:hAnsi="Open Sans" w:cs="Open Sans"/>
        </w:rPr>
        <w:t>, 90(6), pp. 706-716.</w:t>
      </w:r>
    </w:p>
    <w:p w14:paraId="698CE14F" w14:textId="77777777" w:rsidR="00591179" w:rsidRPr="003234DC" w:rsidRDefault="00591179" w:rsidP="00A06A62">
      <w:pPr>
        <w:pStyle w:val="Odlomakpopisa"/>
        <w:numPr>
          <w:ilvl w:val="0"/>
          <w:numId w:val="28"/>
        </w:numPr>
        <w:spacing w:after="0" w:line="276" w:lineRule="auto"/>
        <w:rPr>
          <w:rFonts w:ascii="Open Sans" w:hAnsi="Open Sans" w:cs="Open Sans"/>
        </w:rPr>
      </w:pPr>
      <w:r w:rsidRPr="003234DC">
        <w:rPr>
          <w:rFonts w:ascii="Open Sans" w:hAnsi="Open Sans" w:cs="Open Sans"/>
        </w:rPr>
        <w:t xml:space="preserve">Zawieska, J., Pieriegud, J. (2018). Smart city as a tool for sustainable mobility and transport decarbonisation. </w:t>
      </w:r>
      <w:r w:rsidRPr="003234DC">
        <w:rPr>
          <w:rFonts w:ascii="Open Sans" w:hAnsi="Open Sans" w:cs="Open Sans"/>
          <w:i/>
          <w:iCs/>
        </w:rPr>
        <w:t>Transport Policy</w:t>
      </w:r>
      <w:r w:rsidRPr="003234DC">
        <w:rPr>
          <w:rFonts w:ascii="Open Sans" w:hAnsi="Open Sans" w:cs="Open Sans"/>
        </w:rPr>
        <w:t>, 63, pp. 39-50.</w:t>
      </w:r>
    </w:p>
    <w:p w14:paraId="28B3F9CD" w14:textId="349F1ED3" w:rsidR="007C3C4B" w:rsidRPr="00591179" w:rsidRDefault="00591179" w:rsidP="00A06A62">
      <w:pPr>
        <w:pStyle w:val="Odlomakpopisa"/>
        <w:numPr>
          <w:ilvl w:val="0"/>
          <w:numId w:val="28"/>
        </w:numPr>
        <w:spacing w:after="0" w:line="276" w:lineRule="auto"/>
        <w:rPr>
          <w:rFonts w:ascii="Open Sans" w:hAnsi="Open Sans" w:cs="Open Sans"/>
        </w:rPr>
      </w:pPr>
      <w:r w:rsidRPr="00591179">
        <w:rPr>
          <w:rFonts w:ascii="Open Sans" w:hAnsi="Open Sans" w:cs="Open Sans"/>
        </w:rPr>
        <w:t xml:space="preserve">Zheng, X. Q., Zhao, L., Xiang, W. N., Li, N., Lv, L. N., Yang, X. (2012). A coupled model for simulating spatio-temporal dynamics of land-use change: A case study in Changqing, Jihan, China. </w:t>
      </w:r>
      <w:r w:rsidRPr="00591179">
        <w:rPr>
          <w:rFonts w:ascii="Open Sans" w:hAnsi="Open Sans" w:cs="Open Sans"/>
          <w:i/>
          <w:iCs/>
        </w:rPr>
        <w:t>Landscape and Urban Planning</w:t>
      </w:r>
      <w:r w:rsidRPr="00591179">
        <w:rPr>
          <w:rFonts w:ascii="Open Sans" w:hAnsi="Open Sans" w:cs="Open Sans"/>
        </w:rPr>
        <w:t>, 106(1), pp. 51-61.</w:t>
      </w:r>
    </w:p>
    <w:p w14:paraId="7D385710" w14:textId="7FC8C951" w:rsidR="007C3C4B" w:rsidRPr="002A63BA" w:rsidRDefault="007C3C4B" w:rsidP="00FF3EE4">
      <w:pPr>
        <w:spacing w:line="276" w:lineRule="auto"/>
        <w:ind w:left="360"/>
        <w:rPr>
          <w:rFonts w:ascii="Open Sans" w:hAnsi="Open Sans" w:cs="Open Sans"/>
        </w:rPr>
      </w:pPr>
    </w:p>
    <w:p w14:paraId="54E03451" w14:textId="7EBEEA8E" w:rsidR="007C3C4B" w:rsidRPr="002A63BA" w:rsidRDefault="007C3C4B" w:rsidP="00FF3EE4">
      <w:pPr>
        <w:spacing w:line="276" w:lineRule="auto"/>
        <w:jc w:val="left"/>
        <w:rPr>
          <w:rFonts w:ascii="Open Sans" w:hAnsi="Open Sans" w:cs="Open Sans"/>
        </w:rPr>
      </w:pPr>
      <w:r w:rsidRPr="002A63BA">
        <w:rPr>
          <w:rFonts w:ascii="Open Sans" w:hAnsi="Open Sans" w:cs="Open Sans"/>
        </w:rPr>
        <w:br w:type="page"/>
      </w:r>
    </w:p>
    <w:p w14:paraId="2774B12D" w14:textId="77777777" w:rsidR="008F2C12" w:rsidRPr="002A63BA" w:rsidRDefault="008F2C12" w:rsidP="008F2C12">
      <w:pPr>
        <w:spacing w:line="276" w:lineRule="auto"/>
        <w:ind w:left="360"/>
        <w:rPr>
          <w:rFonts w:ascii="Open Sans" w:hAnsi="Open Sans" w:cs="Open Sans"/>
        </w:rPr>
      </w:pPr>
    </w:p>
    <w:p w14:paraId="42BDC844" w14:textId="77777777" w:rsidR="008F2C12" w:rsidRPr="002A63BA" w:rsidRDefault="008F2C12" w:rsidP="008F2C12">
      <w:pPr>
        <w:spacing w:line="276" w:lineRule="auto"/>
        <w:jc w:val="left"/>
        <w:rPr>
          <w:rFonts w:ascii="Open Sans" w:hAnsi="Open Sans" w:cs="Open Sans"/>
        </w:rPr>
      </w:pPr>
      <w:r w:rsidRPr="002A63BA">
        <w:rPr>
          <w:rFonts w:ascii="Open Sans" w:hAnsi="Open Sans" w:cs="Open Sans"/>
        </w:rPr>
        <w:br w:type="page"/>
      </w:r>
    </w:p>
    <w:p w14:paraId="17C61845" w14:textId="7280C568" w:rsidR="007C3C4B" w:rsidRPr="00A06A62" w:rsidRDefault="007C3C4B" w:rsidP="00A06A62">
      <w:pPr>
        <w:spacing w:before="62" w:line="276" w:lineRule="auto"/>
        <w:jc w:val="center"/>
        <w:rPr>
          <w:rFonts w:ascii="Open Sans" w:hAnsi="Open Sans" w:cs="Open Sans"/>
          <w:b/>
          <w:caps/>
          <w:sz w:val="24"/>
          <w:szCs w:val="24"/>
        </w:rPr>
      </w:pPr>
      <w:r w:rsidRPr="002A63BA">
        <w:rPr>
          <w:rFonts w:ascii="Open Sans" w:hAnsi="Open Sans" w:cs="Open Sans"/>
          <w:b/>
          <w:caps/>
          <w:sz w:val="24"/>
          <w:szCs w:val="24"/>
        </w:rPr>
        <w:lastRenderedPageBreak/>
        <w:t>Determinants of acceptance and use of the public bike-sharing system</w:t>
      </w:r>
    </w:p>
    <w:p w14:paraId="4EFF51C5" w14:textId="77777777" w:rsidR="007C3C4B" w:rsidRPr="002A63BA" w:rsidRDefault="007C3C4B" w:rsidP="00A06A62">
      <w:pPr>
        <w:pStyle w:val="N1"/>
      </w:pPr>
      <w:r w:rsidRPr="002A63BA">
        <w:t>Introduction</w:t>
      </w:r>
    </w:p>
    <w:p w14:paraId="33F0DF10"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Building an efficient and sustainable transport system is one of the biggest and most important challenges of the urban way of life. Urban centers are considered the main focal points of social and economic activities (Cheba, Saniuk, 2016), and the problem of transport is often manifested in traffic jams and congestion. According to the UN (2020), the total number of people living in cities </w:t>
      </w:r>
      <w:r w:rsidRPr="002A63BA">
        <w:rPr>
          <w:rFonts w:ascii="Open Sans" w:hAnsi="Open Sans" w:cs="Open Sans"/>
          <w:bCs/>
        </w:rPr>
        <w:t>was</w:t>
      </w:r>
      <w:r w:rsidRPr="002A63BA">
        <w:rPr>
          <w:rFonts w:ascii="Open Sans" w:hAnsi="Open Sans" w:cs="Open Sans"/>
        </w:rPr>
        <w:t xml:space="preserve"> approximately 4.4 billion in 2020, and by 2050, 6.7 billion people are expected to live in urban areas. According to Ghate, and Sundar (2013), the constant population growth in limited urban space also causes a significant increase in passenger cars, and thus a major issue of sustainability and environmental impact (Gwilliam et al., 2004). Through the concept of smart cities, various models of urban transport are being developed to facilitate decision-making on the conceptual and logical transport structure and the adaptation of urban infrastructure to new requirements. According to Gonzalez-Feliu (2018), a unique model for sustainable transport is unrealistic for two reasons: the interpretation of the term </w:t>
      </w:r>
      <w:r w:rsidRPr="002A63BA">
        <w:rPr>
          <w:rFonts w:ascii="Open Sans" w:hAnsi="Open Sans" w:cs="Open Sans"/>
          <w:i/>
        </w:rPr>
        <w:t>sustainable development</w:t>
      </w:r>
      <w:r w:rsidRPr="002A63BA">
        <w:rPr>
          <w:rFonts w:ascii="Open Sans" w:hAnsi="Open Sans" w:cs="Open Sans"/>
        </w:rPr>
        <w:t xml:space="preserve"> varies considerably among researchers, and methods and research approaches also differ, leading to different research results. But it is the concept of sustainable development which focuses on social acceptability, environmental feasibility, and economic viability, that successfully steers urban development toward smart solutions and sustainable development (Goldman and Gorham, 2006). </w:t>
      </w:r>
    </w:p>
    <w:p w14:paraId="3AAA4340"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The dynamic growth of the motor industry is considered the greatest socio-economic transformation of the 20th century. Every family owns at least one personal vehicle, causing a major turnaround in economic activities, the individuals’ daily transportation options, the retail structure, and various ways of accessing education and health needs (Urry, 2008). But, in addition to these great strides in improving living standards, there </w:t>
      </w:r>
      <w:r w:rsidRPr="002A63BA">
        <w:rPr>
          <w:rFonts w:ascii="Open Sans" w:hAnsi="Open Sans" w:cs="Open Sans"/>
        </w:rPr>
        <w:lastRenderedPageBreak/>
        <w:t xml:space="preserve">are different negative consequences of mass use; congestion, collisions, declining air quality, social exclusion, and reduced physical activity, leading to a reduction in general health and an increase in obesity (Docherty et al., 2018). Kampf et al. (2010) state that it is necessary to reduce the use of motor vehicles to a sustainable level, with the expansion of public passenger transport systems as a basic prerequisite for achieving this goal, with the planning of integrated transport systems that open up new transport options. Such an integrated system should take into account the various needs of all components of that system, which may be the needs of the infrastructure, organization, or information system, pedestrians need a crosswalk, cyclists need the infrastructure of bike lines, motor vehicles need a road and a traffic control system, etc. </w:t>
      </w:r>
    </w:p>
    <w:p w14:paraId="30E2D14E"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The research on the smart mobility implementation in Croatia, conducted in 128 cities (Brčić et al., 2018), found that smart concepts, including smart mobility, are increasingly being implemented in cities. The three main components of smart mobility implemented in Croatian cities are ICT technologies (85.2% of cities), smart public transport (65.5 cities), and smart parking (58.6% of cities). Cities where smart mobility development is recognized also have a much higher level of smart urban development than other cities, concluding that smart mobility is a crucial part of smart cities. The notion of smart mobility emerges as a response to accumulated socio-economic problems and is described as a transition of equal reach and importance as motor mobility, where the focus is on making positive changes without compromising transport needs. In other words, without losing the possibility of access to mobility at any time, the transition to green, clean, efficient, and flexible transport is increasingly considered necessary for sustainable development. This smart transition to sustainable transport brings great security benefits and anticipated lower costs to users due to increased resource efficiency of mobility systems (Docherty et al., 2018). Smart mobility is an important component of a smart city, which aims to raise operational efficiency, share information and improve the services quality and living standards </w:t>
      </w:r>
      <w:r w:rsidRPr="002A63BA">
        <w:rPr>
          <w:rFonts w:ascii="Open Sans" w:hAnsi="Open Sans" w:cs="Open Sans"/>
        </w:rPr>
        <w:lastRenderedPageBreak/>
        <w:t>(Brčić et al., 2018). Smart mobility contributes to this concept by optimizing travel time, freeing up space, improving economic, environmental, and weather costs, reducing emissions, and reducing traffic congestion. Although smart mobility leads to a cost reduction for users, which can lead to the solution of long-term problems, the transition to a smart mobility system does not happen simultaneously and at the same speed in all areas and regions. Namely, the implementation of smart mobility solutions is predominantly in urban centers, which creates a big difference in the rules of modeling and regulation of urban, semi-urban, and rural areas.</w:t>
      </w:r>
    </w:p>
    <w:p w14:paraId="5D9A827C" w14:textId="0A9B84CF" w:rsidR="007C3C4B" w:rsidRPr="00A06A62" w:rsidRDefault="007C3C4B" w:rsidP="00FF3EE4">
      <w:pPr>
        <w:pStyle w:val="Tijeloteksta"/>
        <w:spacing w:line="276" w:lineRule="auto"/>
        <w:rPr>
          <w:rFonts w:ascii="Open Sans" w:hAnsi="Open Sans" w:cs="Open Sans"/>
        </w:rPr>
      </w:pPr>
      <w:r w:rsidRPr="002A63BA">
        <w:rPr>
          <w:rFonts w:ascii="Open Sans" w:hAnsi="Open Sans" w:cs="Open Sans"/>
        </w:rPr>
        <w:t xml:space="preserve">Additionally, problems and their solutions take place at the state level. One of the smart transport models of is also the </w:t>
      </w:r>
      <w:r w:rsidRPr="002A63BA">
        <w:rPr>
          <w:rFonts w:ascii="Open Sans" w:hAnsi="Open Sans" w:cs="Open Sans"/>
          <w:b/>
        </w:rPr>
        <w:t>bicycle sharing system</w:t>
      </w:r>
      <w:r w:rsidRPr="002A63BA">
        <w:rPr>
          <w:rFonts w:ascii="Open Sans" w:hAnsi="Open Sans" w:cs="Open Sans"/>
        </w:rPr>
        <w:t xml:space="preserve">, which is a green solution to the problem of urban mobility. Bicycle sharing systems are public bike sharing systems that use the Internet of Things (IoT) technology. IoT refers to the networking of </w:t>
      </w:r>
      <w:r w:rsidRPr="002A63BA">
        <w:rPr>
          <w:rFonts w:ascii="Open Sans" w:hAnsi="Open Sans" w:cs="Open Sans"/>
          <w:i/>
        </w:rPr>
        <w:t>smart things</w:t>
      </w:r>
      <w:r w:rsidRPr="002A63BA">
        <w:rPr>
          <w:rFonts w:ascii="Open Sans" w:hAnsi="Open Sans" w:cs="Open Sans"/>
        </w:rPr>
        <w:t xml:space="preserve"> that can share information, data, and resources, respond to and act in various situations and environmental changes (Madakam et al., 2015). In this way, citizens are given an alternative, green opportunity to use public transport, with a simple and cheap system of picking up and returning bicycles.</w:t>
      </w:r>
    </w:p>
    <w:p w14:paraId="0B8CA4FE" w14:textId="77777777" w:rsidR="007C3C4B" w:rsidRPr="002A63BA" w:rsidRDefault="007C3C4B" w:rsidP="00A06A62">
      <w:pPr>
        <w:pStyle w:val="N1"/>
        <w:rPr>
          <w:bCs/>
        </w:rPr>
      </w:pPr>
      <w:r w:rsidRPr="002A63BA">
        <w:t>Public bike-sharing systems</w:t>
      </w:r>
    </w:p>
    <w:p w14:paraId="2DA264DD"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By integrating information and communication technology (ICT) into everyday lives, simple activities, such as cycling, fall under the influence of ICT (Ilhan, Fietkiewicz, 2017). Bicycles offer a good alternative for short-distance mobility. According to Kampf et al. (2010), bicycles reach an average speed of 15-25 km/h in urban areas, considered a potential alternative to cars for distances up to 8 km. In addition, the survey says that on average 3/4 of Europeans view the bicycle very positively compared to the car in the city. As a need for an alternative, green type of mobility, public </w:t>
      </w:r>
      <w:r w:rsidRPr="002A63BA">
        <w:rPr>
          <w:rFonts w:ascii="Open Sans" w:hAnsi="Open Sans" w:cs="Open Sans"/>
          <w:b/>
        </w:rPr>
        <w:t>bicycle sharing systems</w:t>
      </w:r>
      <w:r w:rsidRPr="002A63BA">
        <w:rPr>
          <w:rFonts w:ascii="Open Sans" w:hAnsi="Open Sans" w:cs="Open Sans"/>
        </w:rPr>
        <w:t xml:space="preserve"> are being developed in large urban areas, and these systems are seen as a step towards sustainable </w:t>
      </w:r>
      <w:r w:rsidRPr="002A63BA">
        <w:rPr>
          <w:rFonts w:ascii="Open Sans" w:hAnsi="Open Sans" w:cs="Open Sans"/>
        </w:rPr>
        <w:lastRenderedPageBreak/>
        <w:t xml:space="preserve">urban development. However, such systems require high levels of information flow to be functional - information such as where to pick up the bicycle, how to return it, how to pay, etc. It is necessary for users to start using such systems. Matrai and Toth (2016) cite four generations of public </w:t>
      </w:r>
      <w:r w:rsidRPr="002A63BA">
        <w:rPr>
          <w:rFonts w:ascii="Open Sans" w:hAnsi="Open Sans" w:cs="Open Sans"/>
          <w:b/>
        </w:rPr>
        <w:t>bicycle sharing systems</w:t>
      </w:r>
      <w:r w:rsidRPr="002A63BA">
        <w:rPr>
          <w:rFonts w:ascii="Open Sans" w:hAnsi="Open Sans" w:cs="Open Sans"/>
        </w:rPr>
        <w:t xml:space="preserve"> (PBSS), with the first system established in Amsterdam in the 1960s. The first generation of PBSS was based on providing free bicycles that users would borrow and return. The first generation did not have organized locations for picking up and returning bicycles and since the service was free, users had no reason to return bicycles in good condition. Eventually, due to vandalism, these systems were soon shut down (Midgley, 2011). In the 1990s the second PBSS generation was launched in Denmark, and it was characterized by custom bicycles and fixed stations; however, it was still free for use. The third generation was established in Copenhagen under the name </w:t>
      </w:r>
      <w:r w:rsidRPr="002A63BA">
        <w:rPr>
          <w:rFonts w:ascii="Open Sans" w:hAnsi="Open Sans" w:cs="Open Sans"/>
          <w:i/>
        </w:rPr>
        <w:t>Bycyklen</w:t>
      </w:r>
      <w:r w:rsidRPr="002A63BA">
        <w:rPr>
          <w:rFonts w:ascii="Open Sans" w:hAnsi="Open Sans" w:cs="Open Sans"/>
        </w:rPr>
        <w:t xml:space="preserve"> and is considered the first high-scale scheme to be integrated with ICT. In this generation, access with a user card was introduced for the first time at fixed stations that operated with affiliation programs or annual billing. The last fourth generation is the generation of PBSS used today. The main features of this generation are access to mobile devices (via user application and registration system), free use in a certain time frame, providing real-time feedback, use of RFID technology to identify and view bicycle locations, and high-level integration with various systems. Mentioned components were already integrated within the 3rd generation of PBSS. Features that set the fourth generation apart are mobile bicycles pick-up/drop-off stations, solar panels to collect the energy needed to operate the stations, electric bicycles, and mobile applications. Furthermore, Midgley (2011) states that 213 different PBSSs were reported in 2008, almost all of which operated in Europe. Chen et al. (2018) recently introduced the fifth generation referring to systems with bicycles </w:t>
      </w:r>
      <w:r w:rsidRPr="002A63BA">
        <w:rPr>
          <w:rFonts w:ascii="Open Sans" w:hAnsi="Open Sans" w:cs="Open Sans"/>
          <w:b/>
        </w:rPr>
        <w:t>without stations</w:t>
      </w:r>
      <w:r w:rsidRPr="002A63BA">
        <w:rPr>
          <w:rFonts w:ascii="Open Sans" w:hAnsi="Open Sans" w:cs="Open Sans"/>
        </w:rPr>
        <w:t xml:space="preserve"> and great data management capabilities.</w:t>
      </w:r>
    </w:p>
    <w:p w14:paraId="1F76957E" w14:textId="7609C618" w:rsidR="007C3C4B" w:rsidRPr="00A06A62" w:rsidRDefault="007C3C4B" w:rsidP="00FF3EE4">
      <w:pPr>
        <w:pStyle w:val="Tijeloteksta"/>
        <w:spacing w:line="276" w:lineRule="auto"/>
        <w:rPr>
          <w:rFonts w:ascii="Open Sans" w:hAnsi="Open Sans" w:cs="Open Sans"/>
        </w:rPr>
      </w:pPr>
      <w:r w:rsidRPr="002A63BA">
        <w:rPr>
          <w:rFonts w:ascii="Open Sans" w:hAnsi="Open Sans" w:cs="Open Sans"/>
        </w:rPr>
        <w:t xml:space="preserve">Various favorable factors cause the dynamic growth in the popularity of public bicycle sharing. For example, Munkacsy and Monzon (2017) state that the reason for the rapid growth of the PBS system is its </w:t>
      </w:r>
      <w:r w:rsidRPr="002A63BA">
        <w:rPr>
          <w:rFonts w:ascii="Open Sans" w:hAnsi="Open Sans" w:cs="Open Sans"/>
        </w:rPr>
        <w:lastRenderedPageBreak/>
        <w:t>environmental friendliness, its low cost, and its efficiency for short distances, and its efficiency as an intermodal tool. Ilhan and Fietkiewicz (2017) list several PBSS worldwide: YouBike, BiciMAD, Viu BiCiNg, Nextbike, Ofo, Mobike, Forever BIXI, Santander Cycles, The Vélib , Citi Bike, O'Bike and Q Bike.</w:t>
      </w:r>
    </w:p>
    <w:p w14:paraId="2351C5D6" w14:textId="77777777" w:rsidR="007C3C4B" w:rsidRPr="002A63BA" w:rsidRDefault="007C3C4B" w:rsidP="00A06A62">
      <w:pPr>
        <w:pStyle w:val="N1"/>
      </w:pPr>
      <w:r w:rsidRPr="002A63BA">
        <w:t>The case of Nextbike in the city of Split</w:t>
      </w:r>
    </w:p>
    <w:p w14:paraId="131F6C06"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Nextbike smart mobility solution has been implemented in more than 300 cities worldwide, including Croatia (Vlastos et al., 2014). While there are other PBSS in European countries (such as </w:t>
      </w:r>
      <w:r w:rsidRPr="002A63BA">
        <w:rPr>
          <w:rFonts w:ascii="Open Sans" w:hAnsi="Open Sans" w:cs="Open Sans"/>
          <w:i/>
        </w:rPr>
        <w:t>EasyBike, Bixi, Call a Bike, Bicimad</w:t>
      </w:r>
      <w:r w:rsidRPr="002A63BA">
        <w:rPr>
          <w:rFonts w:ascii="Open Sans" w:hAnsi="Open Sans" w:cs="Open Sans"/>
        </w:rPr>
        <w:t xml:space="preserve">), the </w:t>
      </w:r>
      <w:r w:rsidRPr="002A63BA">
        <w:rPr>
          <w:rFonts w:ascii="Open Sans" w:hAnsi="Open Sans" w:cs="Open Sans"/>
          <w:i/>
        </w:rPr>
        <w:t>Nextbike</w:t>
      </w:r>
      <w:r w:rsidRPr="002A63BA">
        <w:rPr>
          <w:rFonts w:ascii="Open Sans" w:hAnsi="Open Sans" w:cs="Open Sans"/>
        </w:rPr>
        <w:t xml:space="preserve"> project is the most famous and commonly used PBSS in Europe. Matrai and Toth (2020) state Nextbike as a classic example of an organization that operates as both owner and provider; in other words, Nextbike provides and maintains bicycles and manages the entire system. A significant advantage of this prevalence is the ability to log in to any city where Nextbike is implemented. Nextbike is considered the largest PBSS in the region. The project has been implemented in about 20 Croatian cities, and in 2019 this project was introduced in the city of Split. Currently, there are 80.000 users registered in Croatia, of which more than 24.000 are registered in Split (Nextbike, Milanović, 2021).</w:t>
      </w:r>
    </w:p>
    <w:p w14:paraId="377FEE62"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Furthermore, there are currently about 300 bicycles in Split as part of the Nextbike project, of which 182 electric bicycles are deployed at 41 stations. An interview conducted with Nextbike Split staff revealed that the plan is to expand the number of bicycles and the number of stations and racks to bring even more citizens closer to using this form of transport. 80% of the total users are locals who have recognized cycling as a great green alternative to public transportation. It has previously been stated that cyclists reach an average speed of 15-25km/h, which is considered a good alternative solution for passenger cars for 8km (Kampf et al., 2010). Considering that the use is free for the first 30 minutes, it is more than enough for public transport since the area of Split covers about 80 km</w:t>
      </w:r>
      <w:r w:rsidRPr="002A63BA">
        <w:rPr>
          <w:rFonts w:ascii="Open Sans" w:hAnsi="Open Sans" w:cs="Open Sans"/>
          <w:vertAlign w:val="superscript"/>
        </w:rPr>
        <w:t>2</w:t>
      </w:r>
      <w:r w:rsidRPr="002A63BA">
        <w:rPr>
          <w:rFonts w:ascii="Open Sans" w:hAnsi="Open Sans" w:cs="Open Sans"/>
        </w:rPr>
        <w:t xml:space="preserve">. Another significant advantage of PBSS over using private </w:t>
      </w:r>
      <w:r w:rsidRPr="002A63BA">
        <w:rPr>
          <w:rFonts w:ascii="Open Sans" w:hAnsi="Open Sans" w:cs="Open Sans"/>
        </w:rPr>
        <w:lastRenderedPageBreak/>
        <w:t>transportation is that it solves the problem of finding a parking space, which is especially prevalent during the summer season.</w:t>
      </w:r>
    </w:p>
    <w:p w14:paraId="41E8F507"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The bicycle rental </w:t>
      </w:r>
      <w:r w:rsidRPr="002A63BA">
        <w:rPr>
          <w:rFonts w:ascii="Open Sans" w:hAnsi="Open Sans" w:cs="Open Sans"/>
          <w:b/>
        </w:rPr>
        <w:t>has three steps</w:t>
      </w:r>
      <w:r w:rsidRPr="002A63BA">
        <w:rPr>
          <w:rFonts w:ascii="Open Sans" w:hAnsi="Open Sans" w:cs="Open Sans"/>
        </w:rPr>
        <w:t>. The first step is user subscription, which begins with registration via a mobile application, customer support center, and set up Nextbike stations or website. Upon registration, the user enters a plan for using the system, and once the account is created, the user can use Nextbike systems worldwide. Payment can be made by credit/debit card, SMS message, or bank transfer. Registration cannot be done without submitting the photo of ID used for identity confirmation, protection against vandalism, and confirmation that the user is old enough to use the system. After the registration process is finished, the user receives a confirmation e-mail. The second step is to rent a bicycle, and it can be done in several ways:</w:t>
      </w:r>
    </w:p>
    <w:p w14:paraId="210CD5B3" w14:textId="77777777" w:rsidR="007C3C4B" w:rsidRPr="002A63BA" w:rsidRDefault="007C3C4B" w:rsidP="00FF3EE4">
      <w:pPr>
        <w:pStyle w:val="Tijeloteksta"/>
        <w:widowControl w:val="0"/>
        <w:numPr>
          <w:ilvl w:val="0"/>
          <w:numId w:val="24"/>
        </w:numPr>
        <w:autoSpaceDE w:val="0"/>
        <w:autoSpaceDN w:val="0"/>
        <w:spacing w:after="0" w:line="276" w:lineRule="auto"/>
        <w:rPr>
          <w:rFonts w:ascii="Open Sans" w:hAnsi="Open Sans" w:cs="Open Sans"/>
        </w:rPr>
      </w:pPr>
      <w:r w:rsidRPr="002A63BA">
        <w:rPr>
          <w:rFonts w:ascii="Open Sans" w:hAnsi="Open Sans" w:cs="Open Sans"/>
        </w:rPr>
        <w:t xml:space="preserve">the first way is to use a mobile application and it assumes entering the bicycle number and the security pin; </w:t>
      </w:r>
    </w:p>
    <w:p w14:paraId="046F0ACC" w14:textId="77777777" w:rsidR="007C3C4B" w:rsidRPr="002A63BA" w:rsidRDefault="007C3C4B" w:rsidP="00FF3EE4">
      <w:pPr>
        <w:pStyle w:val="Tijeloteksta"/>
        <w:widowControl w:val="0"/>
        <w:numPr>
          <w:ilvl w:val="0"/>
          <w:numId w:val="24"/>
        </w:numPr>
        <w:autoSpaceDE w:val="0"/>
        <w:autoSpaceDN w:val="0"/>
        <w:spacing w:after="0" w:line="276" w:lineRule="auto"/>
        <w:rPr>
          <w:rFonts w:ascii="Open Sans" w:hAnsi="Open Sans" w:cs="Open Sans"/>
        </w:rPr>
      </w:pPr>
      <w:r w:rsidRPr="002A63BA">
        <w:rPr>
          <w:rFonts w:ascii="Open Sans" w:hAnsi="Open Sans" w:cs="Open Sans"/>
        </w:rPr>
        <w:t xml:space="preserve">another way is to use the station, then user needs to select the rental on the touch screen, enter the mobile phone number and registration pin, as well as the bicycle number; </w:t>
      </w:r>
    </w:p>
    <w:p w14:paraId="32FDF4A0" w14:textId="77777777" w:rsidR="007C3C4B" w:rsidRPr="002A63BA" w:rsidRDefault="007C3C4B" w:rsidP="00FF3EE4">
      <w:pPr>
        <w:pStyle w:val="Tijeloteksta"/>
        <w:widowControl w:val="0"/>
        <w:numPr>
          <w:ilvl w:val="0"/>
          <w:numId w:val="24"/>
        </w:numPr>
        <w:autoSpaceDE w:val="0"/>
        <w:autoSpaceDN w:val="0"/>
        <w:spacing w:after="0" w:line="276" w:lineRule="auto"/>
        <w:rPr>
          <w:rFonts w:ascii="Open Sans" w:hAnsi="Open Sans" w:cs="Open Sans"/>
        </w:rPr>
      </w:pPr>
      <w:r w:rsidRPr="002A63BA">
        <w:rPr>
          <w:rFonts w:ascii="Open Sans" w:hAnsi="Open Sans" w:cs="Open Sans"/>
        </w:rPr>
        <w:t>the third way is to scan the bike’s QR code which automatically registers the rent in the system;</w:t>
      </w:r>
    </w:p>
    <w:p w14:paraId="539E60A9" w14:textId="77777777" w:rsidR="007C3C4B" w:rsidRPr="002A63BA" w:rsidRDefault="007C3C4B" w:rsidP="00FF3EE4">
      <w:pPr>
        <w:pStyle w:val="Tijeloteksta"/>
        <w:widowControl w:val="0"/>
        <w:numPr>
          <w:ilvl w:val="0"/>
          <w:numId w:val="24"/>
        </w:numPr>
        <w:autoSpaceDE w:val="0"/>
        <w:autoSpaceDN w:val="0"/>
        <w:spacing w:after="0" w:line="276" w:lineRule="auto"/>
        <w:rPr>
          <w:rFonts w:ascii="Open Sans" w:hAnsi="Open Sans" w:cs="Open Sans"/>
        </w:rPr>
      </w:pPr>
      <w:r w:rsidRPr="002A63BA">
        <w:rPr>
          <w:rFonts w:ascii="Open Sans" w:hAnsi="Open Sans" w:cs="Open Sans"/>
        </w:rPr>
        <w:t xml:space="preserve">it is possible to rent a bike by calling the user number. </w:t>
      </w:r>
    </w:p>
    <w:p w14:paraId="7DEF189F"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After choosing one of the rental methods, the user takes the bicycle and starts riding. At the end of the ride the bicycle needs to be returned to the </w:t>
      </w:r>
      <w:r w:rsidRPr="002A63BA">
        <w:rPr>
          <w:rFonts w:ascii="Open Sans" w:hAnsi="Open Sans" w:cs="Open Sans"/>
          <w:b/>
        </w:rPr>
        <w:t>station</w:t>
      </w:r>
      <w:r w:rsidRPr="002A63BA">
        <w:rPr>
          <w:rFonts w:ascii="Open Sans" w:hAnsi="Open Sans" w:cs="Open Sans"/>
        </w:rPr>
        <w:t xml:space="preserve">, which is done by pushing the bicycle into the lock which locks automatically. If the bicycle is returned correctly, the station emits an acknowledgment sound signal, and the status that the bicycle has been returned is displayed on the mobile application. It is also possible to temporarily park the bicycle using the functions of the mobile applications </w:t>
      </w:r>
      <w:r w:rsidRPr="002A63BA">
        <w:rPr>
          <w:rFonts w:ascii="Open Sans" w:hAnsi="Open Sans" w:cs="Open Sans"/>
          <w:i/>
        </w:rPr>
        <w:t>Park</w:t>
      </w:r>
      <w:r w:rsidRPr="002A63BA">
        <w:rPr>
          <w:rFonts w:ascii="Open Sans" w:hAnsi="Open Sans" w:cs="Open Sans"/>
        </w:rPr>
        <w:t xml:space="preserve"> and </w:t>
      </w:r>
      <w:r w:rsidRPr="002A63BA">
        <w:rPr>
          <w:rFonts w:ascii="Open Sans" w:hAnsi="Open Sans" w:cs="Open Sans"/>
          <w:i/>
        </w:rPr>
        <w:t>Continue renting</w:t>
      </w:r>
      <w:r w:rsidRPr="002A63BA">
        <w:rPr>
          <w:rFonts w:ascii="Open Sans" w:hAnsi="Open Sans" w:cs="Open Sans"/>
        </w:rPr>
        <w:t xml:space="preserve">. In case all the racks are occupied, the bicycle must be locked manually with a mechanical padlock for the stand on the station. The additional option of using Nextbike systems is creating the Nextbike card, which simplifies the entire process of renting a bicycle (the cost of a card is 20kn). The Nextbike system also provides a </w:t>
      </w:r>
      <w:r w:rsidRPr="002A63BA">
        <w:rPr>
          <w:rFonts w:ascii="Open Sans" w:hAnsi="Open Sans" w:cs="Open Sans"/>
        </w:rPr>
        <w:lastRenderedPageBreak/>
        <w:t>smart fault tracking solution that deactivates bicycles after a report or automatic fault detection so they cannot be rented.</w:t>
      </w:r>
    </w:p>
    <w:p w14:paraId="38DE1C84" w14:textId="0E33CBE9" w:rsidR="007C3C4B" w:rsidRPr="00A06A62" w:rsidRDefault="007C3C4B" w:rsidP="00FF3EE4">
      <w:pPr>
        <w:pStyle w:val="Tijeloteksta"/>
        <w:spacing w:line="276" w:lineRule="auto"/>
        <w:rPr>
          <w:rFonts w:ascii="Open Sans" w:hAnsi="Open Sans" w:cs="Open Sans"/>
        </w:rPr>
      </w:pPr>
      <w:r w:rsidRPr="002A63BA">
        <w:rPr>
          <w:rFonts w:ascii="Open Sans" w:hAnsi="Open Sans" w:cs="Open Sans"/>
        </w:rPr>
        <w:t>All these aspects of the smart solution of the Nextbike system are supported by a network of applied technologies that make the whole system work. For example, setting up the station is meaningless without networking and setting security measures, bicycles without tracking methods cannot be numbered and tracked, and parking bicycles would not be possible without the supporting technology of bicycle registration. Administration of the entire Nextbike system takes place via the Nextbike cloud Office software. It is a complete CRM system for administering user processes and, at the same time, makes a remote diagnostic tool for efficient management of bicycle fleets and stations.</w:t>
      </w:r>
    </w:p>
    <w:p w14:paraId="3BF8BC56" w14:textId="77777777" w:rsidR="007C3C4B" w:rsidRPr="002A63BA" w:rsidRDefault="007C3C4B" w:rsidP="00FF3EE4">
      <w:pPr>
        <w:pStyle w:val="Tijeloteksta"/>
        <w:spacing w:line="276" w:lineRule="auto"/>
        <w:rPr>
          <w:rFonts w:ascii="Open Sans" w:hAnsi="Open Sans" w:cs="Open Sans"/>
          <w:b/>
          <w:bCs/>
        </w:rPr>
      </w:pPr>
      <w:r w:rsidRPr="002A63BA">
        <w:rPr>
          <w:rFonts w:ascii="Open Sans" w:hAnsi="Open Sans" w:cs="Open Sans"/>
          <w:b/>
          <w:bCs/>
        </w:rPr>
        <w:t xml:space="preserve">Map locations of </w:t>
      </w:r>
      <w:r w:rsidRPr="002A63BA">
        <w:rPr>
          <w:rFonts w:ascii="Open Sans" w:hAnsi="Open Sans" w:cs="Open Sans"/>
        </w:rPr>
        <w:t>stations in Split are shown in Figure 1.</w:t>
      </w:r>
    </w:p>
    <w:p w14:paraId="505DF48D" w14:textId="77777777" w:rsidR="007C3C4B" w:rsidRPr="002A63BA" w:rsidRDefault="007C3C4B" w:rsidP="00FF3EE4">
      <w:pPr>
        <w:pStyle w:val="Tijeloteksta"/>
        <w:keepNext/>
        <w:spacing w:line="276" w:lineRule="auto"/>
        <w:rPr>
          <w:rFonts w:ascii="Open Sans" w:hAnsi="Open Sans" w:cs="Open Sans"/>
        </w:rPr>
      </w:pPr>
      <w:r w:rsidRPr="002A63BA">
        <w:rPr>
          <w:rFonts w:ascii="Open Sans" w:hAnsi="Open Sans" w:cs="Open Sans"/>
          <w:noProof/>
          <w:lang w:val="hr-HR" w:eastAsia="hr-HR"/>
        </w:rPr>
        <w:drawing>
          <wp:inline distT="0" distB="0" distL="0" distR="0" wp14:anchorId="5E7989E8" wp14:editId="30578D00">
            <wp:extent cx="4621374" cy="3200400"/>
            <wp:effectExtent l="0" t="0" r="8255" b="0"/>
            <wp:docPr id="44" name="Slika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cstate="screen">
                      <a:extLst>
                        <a:ext uri="{28A0092B-C50C-407E-A947-70E740481C1C}">
                          <a14:useLocalDpi xmlns:a14="http://schemas.microsoft.com/office/drawing/2010/main"/>
                        </a:ext>
                      </a:extLst>
                    </a:blip>
                    <a:stretch>
                      <a:fillRect/>
                    </a:stretch>
                  </pic:blipFill>
                  <pic:spPr>
                    <a:xfrm>
                      <a:off x="0" y="0"/>
                      <a:ext cx="4630066" cy="3206419"/>
                    </a:xfrm>
                    <a:prstGeom prst="rect">
                      <a:avLst/>
                    </a:prstGeom>
                  </pic:spPr>
                </pic:pic>
              </a:graphicData>
            </a:graphic>
          </wp:inline>
        </w:drawing>
      </w:r>
    </w:p>
    <w:p w14:paraId="3F7B9FBD" w14:textId="77777777" w:rsidR="007C3C4B" w:rsidRPr="002A63BA" w:rsidRDefault="007C3C4B" w:rsidP="00FF3EE4">
      <w:pPr>
        <w:pStyle w:val="Opisslike"/>
        <w:spacing w:line="276" w:lineRule="auto"/>
        <w:rPr>
          <w:rFonts w:ascii="Open Sans" w:hAnsi="Open Sans" w:cs="Open Sans"/>
          <w:i w:val="0"/>
          <w:iCs w:val="0"/>
          <w:color w:val="auto"/>
          <w:sz w:val="22"/>
          <w:szCs w:val="22"/>
        </w:rPr>
      </w:pPr>
      <w:r w:rsidRPr="002A63BA">
        <w:rPr>
          <w:rFonts w:ascii="Open Sans" w:hAnsi="Open Sans" w:cs="Open Sans"/>
          <w:i w:val="0"/>
          <w:iCs w:val="0"/>
          <w:color w:val="auto"/>
          <w:sz w:val="22"/>
          <w:szCs w:val="22"/>
        </w:rPr>
        <w:t xml:space="preserve">Figure </w:t>
      </w:r>
      <w:r w:rsidRPr="002A63BA">
        <w:rPr>
          <w:rFonts w:ascii="Open Sans" w:hAnsi="Open Sans" w:cs="Open Sans"/>
          <w:i w:val="0"/>
          <w:iCs w:val="0"/>
          <w:color w:val="auto"/>
          <w:sz w:val="22"/>
          <w:szCs w:val="22"/>
        </w:rPr>
        <w:fldChar w:fldCharType="begin"/>
      </w:r>
      <w:r w:rsidRPr="002A63BA">
        <w:rPr>
          <w:rFonts w:ascii="Open Sans" w:hAnsi="Open Sans" w:cs="Open Sans"/>
          <w:i w:val="0"/>
          <w:iCs w:val="0"/>
          <w:color w:val="auto"/>
          <w:sz w:val="22"/>
          <w:szCs w:val="22"/>
        </w:rPr>
        <w:instrText xml:space="preserve"> SEQ Figure \* ARABIC </w:instrText>
      </w:r>
      <w:r w:rsidRPr="002A63BA">
        <w:rPr>
          <w:rFonts w:ascii="Open Sans" w:hAnsi="Open Sans" w:cs="Open Sans"/>
          <w:i w:val="0"/>
          <w:iCs w:val="0"/>
          <w:color w:val="auto"/>
          <w:sz w:val="22"/>
          <w:szCs w:val="22"/>
        </w:rPr>
        <w:fldChar w:fldCharType="separate"/>
      </w:r>
      <w:r w:rsidRPr="002A63BA">
        <w:rPr>
          <w:rFonts w:ascii="Open Sans" w:hAnsi="Open Sans" w:cs="Open Sans"/>
          <w:i w:val="0"/>
          <w:iCs w:val="0"/>
          <w:noProof/>
          <w:color w:val="auto"/>
          <w:sz w:val="22"/>
          <w:szCs w:val="22"/>
        </w:rPr>
        <w:t>1</w:t>
      </w:r>
      <w:r w:rsidRPr="002A63BA">
        <w:rPr>
          <w:rFonts w:ascii="Open Sans" w:hAnsi="Open Sans" w:cs="Open Sans"/>
          <w:i w:val="0"/>
          <w:iCs w:val="0"/>
          <w:noProof/>
          <w:color w:val="auto"/>
          <w:sz w:val="22"/>
          <w:szCs w:val="22"/>
        </w:rPr>
        <w:fldChar w:fldCharType="end"/>
      </w:r>
      <w:r w:rsidRPr="002A63BA">
        <w:rPr>
          <w:rFonts w:ascii="Open Sans" w:hAnsi="Open Sans" w:cs="Open Sans"/>
          <w:i w:val="0"/>
          <w:iCs w:val="0"/>
          <w:noProof/>
          <w:color w:val="auto"/>
          <w:sz w:val="22"/>
          <w:szCs w:val="22"/>
        </w:rPr>
        <w:t>.</w:t>
      </w:r>
      <w:r w:rsidRPr="002A63BA">
        <w:rPr>
          <w:rFonts w:ascii="Open Sans" w:hAnsi="Open Sans" w:cs="Open Sans"/>
          <w:i w:val="0"/>
          <w:iCs w:val="0"/>
          <w:color w:val="auto"/>
          <w:sz w:val="22"/>
          <w:szCs w:val="22"/>
        </w:rPr>
        <w:t xml:space="preserve"> </w:t>
      </w:r>
      <w:r w:rsidRPr="002A63BA">
        <w:rPr>
          <w:rFonts w:ascii="Open Sans" w:hAnsi="Open Sans" w:cs="Open Sans"/>
          <w:color w:val="auto"/>
          <w:sz w:val="22"/>
          <w:szCs w:val="22"/>
        </w:rPr>
        <w:t>Nextbike map with the locations of all stations in the city of Split</w:t>
      </w:r>
    </w:p>
    <w:p w14:paraId="04ABD953"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All Nextbike stations in Split have a SIM card and some stations are connected by an optical network. The SIM card (subscriber identity module) is considered a method of specific security cryptography of </w:t>
      </w:r>
      <w:r w:rsidRPr="002A63BA">
        <w:rPr>
          <w:rFonts w:ascii="Open Sans" w:hAnsi="Open Sans" w:cs="Open Sans"/>
        </w:rPr>
        <w:lastRenderedPageBreak/>
        <w:t>device security and this cryptographed algorithm is extremely difficult to hack (Pang et al., 2013). A SIM card is a module that contains and encrypts information when sent to the main system. When all information from both sender and receiver is confirmed, the message can be decrypted. In this way, communication between the terminal and the main system occurs in a secure encrypted way. A solar panel is connected to each terminal which is sufficient for the self-sustaining power supply of the station. The terminals are equipped with a touch screen and an RFID reader.</w:t>
      </w:r>
    </w:p>
    <w:p w14:paraId="4FBCF974"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However, in an interview with the staff of Nextbike Split, it was stated that an optical network connects some locations. In addition, there are cameras at all locations that are connected to the Split parking control center (via optical networking). According to Ji and Wang (2016), optical networking is a key contributor to IoT networks and communications, emphasizing fiber optic technologies.</w:t>
      </w:r>
    </w:p>
    <w:p w14:paraId="1FBAA8BD"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The IoT technology is also integrated into each bicycle, from which several types of bicycles differ: classic bicycles, classic eco-bicycles, smart bicycles, and e-smart bicycles (Nextbike, 2016). The classic bicycle</w:t>
      </w:r>
      <w:r w:rsidRPr="002A63BA" w:rsidDel="009A4B3A">
        <w:rPr>
          <w:rFonts w:ascii="Open Sans" w:hAnsi="Open Sans" w:cs="Open Sans"/>
        </w:rPr>
        <w:t xml:space="preserve"> </w:t>
      </w:r>
      <w:r w:rsidRPr="002A63BA">
        <w:rPr>
          <w:rFonts w:ascii="Open Sans" w:hAnsi="Open Sans" w:cs="Open Sans"/>
        </w:rPr>
        <w:t>contains an adapter with an RFID chip for docking and communication with smart stations. The station recognizes bike’s chip using the RFID radio waves and automatically registers bicycles</w:t>
      </w:r>
      <w:r w:rsidRPr="002A63BA" w:rsidDel="009A4B3A">
        <w:rPr>
          <w:rFonts w:ascii="Open Sans" w:hAnsi="Open Sans" w:cs="Open Sans"/>
        </w:rPr>
        <w:t xml:space="preserve"> </w:t>
      </w:r>
      <w:r w:rsidRPr="002A63BA">
        <w:rPr>
          <w:rFonts w:ascii="Open Sans" w:hAnsi="Open Sans" w:cs="Open Sans"/>
        </w:rPr>
        <w:t>pick-up/return. It then passes this information to the system, and the user can view the bicycle</w:t>
      </w:r>
      <w:r w:rsidRPr="002A63BA" w:rsidDel="009A4B3A">
        <w:rPr>
          <w:rFonts w:ascii="Open Sans" w:hAnsi="Open Sans" w:cs="Open Sans"/>
        </w:rPr>
        <w:t xml:space="preserve"> </w:t>
      </w:r>
      <w:r w:rsidRPr="002A63BA">
        <w:rPr>
          <w:rFonts w:ascii="Open Sans" w:hAnsi="Open Sans" w:cs="Open Sans"/>
        </w:rPr>
        <w:t>status in the Nextbike application. The redesign of the classic bicycle into a classic eco- bicycle</w:t>
      </w:r>
      <w:r w:rsidRPr="002A63BA" w:rsidDel="009A4B3A">
        <w:rPr>
          <w:rFonts w:ascii="Open Sans" w:hAnsi="Open Sans" w:cs="Open Sans"/>
        </w:rPr>
        <w:t xml:space="preserve"> </w:t>
      </w:r>
      <w:r w:rsidRPr="002A63BA">
        <w:rPr>
          <w:rFonts w:ascii="Open Sans" w:hAnsi="Open Sans" w:cs="Open Sans"/>
        </w:rPr>
        <w:t>refers to replacing ecologically non-renewable bicycle parts with eco-renewable ones. The smart bicycles</w:t>
      </w:r>
      <w:r w:rsidRPr="002A63BA" w:rsidDel="009A4B3A">
        <w:rPr>
          <w:rFonts w:ascii="Open Sans" w:hAnsi="Open Sans" w:cs="Open Sans"/>
        </w:rPr>
        <w:t xml:space="preserve"> </w:t>
      </w:r>
      <w:r w:rsidRPr="002A63BA">
        <w:rPr>
          <w:rFonts w:ascii="Open Sans" w:hAnsi="Open Sans" w:cs="Open Sans"/>
        </w:rPr>
        <w:t>are based on the classic bicycle</w:t>
      </w:r>
      <w:r w:rsidRPr="002A63BA" w:rsidDel="009A4B3A">
        <w:rPr>
          <w:rFonts w:ascii="Open Sans" w:hAnsi="Open Sans" w:cs="Open Sans"/>
        </w:rPr>
        <w:t xml:space="preserve"> </w:t>
      </w:r>
      <w:r w:rsidRPr="002A63BA">
        <w:rPr>
          <w:rFonts w:ascii="Open Sans" w:hAnsi="Open Sans" w:cs="Open Sans"/>
        </w:rPr>
        <w:t>model combined with smart electric computer components and unique locking technology. The bicycle</w:t>
      </w:r>
      <w:r w:rsidRPr="002A63BA" w:rsidDel="009A4B3A">
        <w:rPr>
          <w:rFonts w:ascii="Open Sans" w:hAnsi="Open Sans" w:cs="Open Sans"/>
        </w:rPr>
        <w:t xml:space="preserve"> </w:t>
      </w:r>
      <w:r w:rsidRPr="002A63BA">
        <w:rPr>
          <w:rFonts w:ascii="Open Sans" w:hAnsi="Open Sans" w:cs="Open Sans"/>
        </w:rPr>
        <w:t>has an integrated electro-mechanical locking system and the electric computer has integrated GPS and GSM communication modules for monitoring the geolocation of the bicycle. Additionally, NFC reader provides internal data storage and the computer controls the locking mechanisms of the bicycle. The e-smart bicycles</w:t>
      </w:r>
      <w:r w:rsidRPr="002A63BA" w:rsidDel="009A4B3A">
        <w:rPr>
          <w:rFonts w:ascii="Open Sans" w:hAnsi="Open Sans" w:cs="Open Sans"/>
        </w:rPr>
        <w:t xml:space="preserve"> </w:t>
      </w:r>
      <w:r w:rsidRPr="002A63BA">
        <w:rPr>
          <w:rFonts w:ascii="Open Sans" w:hAnsi="Open Sans" w:cs="Open Sans"/>
        </w:rPr>
        <w:t>are electric bicycles</w:t>
      </w:r>
      <w:r w:rsidRPr="002A63BA" w:rsidDel="009A4B3A">
        <w:rPr>
          <w:rFonts w:ascii="Open Sans" w:hAnsi="Open Sans" w:cs="Open Sans"/>
        </w:rPr>
        <w:t xml:space="preserve"> </w:t>
      </w:r>
      <w:r w:rsidRPr="002A63BA">
        <w:rPr>
          <w:rFonts w:ascii="Open Sans" w:hAnsi="Open Sans" w:cs="Open Sans"/>
        </w:rPr>
        <w:t>made based on a smart bicycles</w:t>
      </w:r>
      <w:r w:rsidRPr="002A63BA" w:rsidDel="009A4B3A">
        <w:rPr>
          <w:rFonts w:ascii="Open Sans" w:hAnsi="Open Sans" w:cs="Open Sans"/>
        </w:rPr>
        <w:t xml:space="preserve"> </w:t>
      </w:r>
      <w:r w:rsidRPr="002A63BA">
        <w:rPr>
          <w:rFonts w:ascii="Open Sans" w:hAnsi="Open Sans" w:cs="Open Sans"/>
        </w:rPr>
        <w:t>containing a rechargeable motor, which is charged on the stations.</w:t>
      </w:r>
    </w:p>
    <w:p w14:paraId="241650FA" w14:textId="29C902CE" w:rsidR="007C3C4B" w:rsidRPr="00A06A62" w:rsidRDefault="007C3C4B" w:rsidP="00FF3EE4">
      <w:pPr>
        <w:pStyle w:val="Tijeloteksta"/>
        <w:spacing w:line="276" w:lineRule="auto"/>
        <w:rPr>
          <w:rFonts w:ascii="Open Sans" w:hAnsi="Open Sans" w:cs="Open Sans"/>
        </w:rPr>
      </w:pPr>
      <w:r w:rsidRPr="002A63BA">
        <w:rPr>
          <w:rFonts w:ascii="Open Sans" w:hAnsi="Open Sans" w:cs="Open Sans"/>
        </w:rPr>
        <w:lastRenderedPageBreak/>
        <w:t>Another smart characteristic of the Nextbike system is the mobile application. According to Nextbike, in some cities, more than 80% of bookings are made via the mobile application</w:t>
      </w:r>
      <w:r w:rsidRPr="002A63BA" w:rsidDel="009A4B3A">
        <w:rPr>
          <w:rFonts w:ascii="Open Sans" w:hAnsi="Open Sans" w:cs="Open Sans"/>
        </w:rPr>
        <w:t xml:space="preserve"> </w:t>
      </w:r>
      <w:r w:rsidRPr="002A63BA">
        <w:rPr>
          <w:rFonts w:ascii="Open Sans" w:hAnsi="Open Sans" w:cs="Open Sans"/>
        </w:rPr>
        <w:t>thanks to the integration of smart technologies. Easy access to bicycles is provided by scanning the QR code on bicycles, or by NFC scanning. In this way, it is not necessary to enter additional data (PIN, username, etc.). The application provides additional features such as access to maps with the stations' locations, location of available bicycles, driving history, account information, and the possibility of reporting bicycles damage.</w:t>
      </w:r>
    </w:p>
    <w:p w14:paraId="072D5234" w14:textId="77777777" w:rsidR="007C3C4B" w:rsidRPr="002A63BA" w:rsidRDefault="007C3C4B" w:rsidP="00A06A62">
      <w:pPr>
        <w:pStyle w:val="N1"/>
      </w:pPr>
      <w:r w:rsidRPr="002A63BA">
        <w:t xml:space="preserve">Conceptual Grounding and Hypotheses Development  </w:t>
      </w:r>
    </w:p>
    <w:p w14:paraId="70B73E06"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Unified Theory of Acceptance and Use of Technology (UTAUT) is one of the most popular theories applied in various research to examine the </w:t>
      </w:r>
      <w:r w:rsidRPr="002A63BA">
        <w:rPr>
          <w:rFonts w:ascii="Open Sans" w:hAnsi="Open Sans" w:cs="Open Sans"/>
          <w:i/>
        </w:rPr>
        <w:t xml:space="preserve">behavioral intention </w:t>
      </w:r>
      <w:r w:rsidRPr="002A63BA">
        <w:rPr>
          <w:rFonts w:ascii="Open Sans" w:hAnsi="Open Sans" w:cs="Open Sans"/>
        </w:rPr>
        <w:t xml:space="preserve">and real </w:t>
      </w:r>
      <w:r w:rsidRPr="002A63BA">
        <w:rPr>
          <w:rFonts w:ascii="Open Sans" w:hAnsi="Open Sans" w:cs="Open Sans"/>
          <w:i/>
        </w:rPr>
        <w:t>use behavior</w:t>
      </w:r>
      <w:r w:rsidRPr="002A63BA">
        <w:rPr>
          <w:rFonts w:ascii="Open Sans" w:hAnsi="Open Sans" w:cs="Open Sans"/>
        </w:rPr>
        <w:t xml:space="preserve"> of specific technology users. Venkatesh et al. (2003) presented the UTAUT model as a result of a combination of 8 different theories: Theory of Reasoned Action (TRA), Technology Acceptance Model (TAM), Motivational Model (MM), Theory of planned behavior (TPB), and Combined Theory of Planned Behavior/Technology Acceptance Model (C-TPB-TAM), Model of PC Utilization (MPCU), Innovation Diffusion Theory (IDT), and Social Cognitive Theory (SCT). TAM stands out as the model closest to UTAUT, since both models suggest that technology use is influenced by behavioral intention to use technology (Shachak et al., 2019). UTAUT model has been extended into the UTAUT2 model with additional predictors: hedonic motivation, price value, and habit.</w:t>
      </w:r>
    </w:p>
    <w:p w14:paraId="40D361AB"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This study empirically tested a model to predict the </w:t>
      </w:r>
      <w:r w:rsidRPr="002A63BA">
        <w:rPr>
          <w:rFonts w:ascii="Open Sans" w:hAnsi="Open Sans" w:cs="Open Sans"/>
          <w:i/>
        </w:rPr>
        <w:t>factors affecting users’ behavioral intentions to use the PBSS in the city of Split</w:t>
      </w:r>
      <w:r w:rsidRPr="002A63BA">
        <w:rPr>
          <w:rFonts w:ascii="Open Sans" w:hAnsi="Open Sans" w:cs="Open Sans"/>
        </w:rPr>
        <w:t xml:space="preserve">. Along with </w:t>
      </w:r>
      <w:r w:rsidRPr="002A63BA">
        <w:rPr>
          <w:rFonts w:ascii="Open Sans" w:hAnsi="Open Sans" w:cs="Open Sans"/>
          <w:i/>
        </w:rPr>
        <w:t xml:space="preserve">behavioral intention </w:t>
      </w:r>
      <w:r w:rsidRPr="002A63BA">
        <w:rPr>
          <w:rFonts w:ascii="Open Sans" w:hAnsi="Open Sans" w:cs="Open Sans"/>
        </w:rPr>
        <w:t xml:space="preserve">and </w:t>
      </w:r>
      <w:r w:rsidRPr="002A63BA">
        <w:rPr>
          <w:rFonts w:ascii="Open Sans" w:hAnsi="Open Sans" w:cs="Open Sans"/>
          <w:i/>
        </w:rPr>
        <w:t>use behavior</w:t>
      </w:r>
      <w:r w:rsidRPr="002A63BA">
        <w:rPr>
          <w:rFonts w:ascii="Open Sans" w:hAnsi="Open Sans" w:cs="Open Sans"/>
        </w:rPr>
        <w:t xml:space="preserve">, variables </w:t>
      </w:r>
      <w:r w:rsidRPr="002A63BA">
        <w:rPr>
          <w:rFonts w:ascii="Open Sans" w:hAnsi="Open Sans" w:cs="Open Sans"/>
          <w:i/>
        </w:rPr>
        <w:t>performance expectancy</w:t>
      </w:r>
      <w:r w:rsidRPr="002A63BA">
        <w:rPr>
          <w:rFonts w:ascii="Open Sans" w:hAnsi="Open Sans" w:cs="Open Sans"/>
        </w:rPr>
        <w:t xml:space="preserve">, </w:t>
      </w:r>
      <w:r w:rsidRPr="002A63BA">
        <w:rPr>
          <w:rFonts w:ascii="Open Sans" w:hAnsi="Open Sans" w:cs="Open Sans"/>
          <w:i/>
        </w:rPr>
        <w:t>effort expectancy</w:t>
      </w:r>
      <w:r w:rsidRPr="002A63BA">
        <w:rPr>
          <w:rFonts w:ascii="Open Sans" w:hAnsi="Open Sans" w:cs="Open Sans"/>
        </w:rPr>
        <w:t xml:space="preserve">, </w:t>
      </w:r>
      <w:r w:rsidRPr="002A63BA">
        <w:rPr>
          <w:rFonts w:ascii="Open Sans" w:hAnsi="Open Sans" w:cs="Open Sans"/>
          <w:i/>
        </w:rPr>
        <w:t>social influence</w:t>
      </w:r>
      <w:r w:rsidRPr="002A63BA">
        <w:rPr>
          <w:rFonts w:ascii="Open Sans" w:hAnsi="Open Sans" w:cs="Open Sans"/>
        </w:rPr>
        <w:t xml:space="preserve">, and </w:t>
      </w:r>
      <w:r w:rsidRPr="002A63BA">
        <w:rPr>
          <w:rFonts w:ascii="Open Sans" w:hAnsi="Open Sans" w:cs="Open Sans"/>
          <w:i/>
        </w:rPr>
        <w:t>facilitating conditions</w:t>
      </w:r>
      <w:r w:rsidRPr="002A63BA">
        <w:rPr>
          <w:rFonts w:ascii="Open Sans" w:hAnsi="Open Sans" w:cs="Open Sans"/>
        </w:rPr>
        <w:t xml:space="preserve"> from UTAUT were included in the research model. Furthermore, the </w:t>
      </w:r>
      <w:r w:rsidRPr="002A63BA">
        <w:rPr>
          <w:rFonts w:ascii="Open Sans" w:hAnsi="Open Sans" w:cs="Open Sans"/>
          <w:i/>
        </w:rPr>
        <w:t>price value</w:t>
      </w:r>
      <w:r w:rsidRPr="002A63BA">
        <w:rPr>
          <w:rFonts w:ascii="Open Sans" w:hAnsi="Open Sans" w:cs="Open Sans"/>
        </w:rPr>
        <w:t xml:space="preserve"> variable was taken from the UTAUT2, and the model was additionally extended with </w:t>
      </w:r>
      <w:r w:rsidRPr="002A63BA">
        <w:rPr>
          <w:rFonts w:ascii="Open Sans" w:hAnsi="Open Sans" w:cs="Open Sans"/>
          <w:i/>
        </w:rPr>
        <w:t>perceived risk</w:t>
      </w:r>
      <w:r w:rsidRPr="002A63BA">
        <w:rPr>
          <w:rFonts w:ascii="Open Sans" w:hAnsi="Open Sans" w:cs="Open Sans"/>
        </w:rPr>
        <w:t xml:space="preserve">, </w:t>
      </w:r>
      <w:r w:rsidRPr="002A63BA">
        <w:rPr>
          <w:rFonts w:ascii="Open Sans" w:hAnsi="Open Sans" w:cs="Open Sans"/>
          <w:i/>
        </w:rPr>
        <w:t>environmental awareness</w:t>
      </w:r>
      <w:r w:rsidRPr="002A63BA">
        <w:rPr>
          <w:rFonts w:ascii="Open Sans" w:hAnsi="Open Sans" w:cs="Open Sans"/>
        </w:rPr>
        <w:t xml:space="preserve">, </w:t>
      </w:r>
      <w:r w:rsidRPr="002A63BA">
        <w:rPr>
          <w:rFonts w:ascii="Open Sans" w:hAnsi="Open Sans" w:cs="Open Sans"/>
          <w:i/>
        </w:rPr>
        <w:t>and physical activity</w:t>
      </w:r>
      <w:r w:rsidRPr="002A63BA">
        <w:rPr>
          <w:rFonts w:ascii="Open Sans" w:hAnsi="Open Sans" w:cs="Open Sans"/>
        </w:rPr>
        <w:t>.</w:t>
      </w:r>
    </w:p>
    <w:p w14:paraId="0856AFC5"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lastRenderedPageBreak/>
        <w:t>Performance expectancy</w:t>
      </w:r>
      <w:r w:rsidRPr="002A63BA" w:rsidDel="00AB6DE0">
        <w:rPr>
          <w:rFonts w:ascii="Open Sans" w:hAnsi="Open Sans" w:cs="Open Sans"/>
          <w:i/>
        </w:rPr>
        <w:t xml:space="preserve"> </w:t>
      </w:r>
      <w:r w:rsidRPr="002A63BA">
        <w:rPr>
          <w:rFonts w:ascii="Open Sans" w:hAnsi="Open Sans" w:cs="Open Sans"/>
        </w:rPr>
        <w:t xml:space="preserve">(Dwivedi et al., 2011) is defined as the level to which individuals believe that the use of new technology will improve their performance. Users will be more motivated to use new technologies if they believe that implementing this technology will positively impact their everyday lives. As the Nextbike Split provides an answer to solving the problem of congestion, emission, and parking, the assumption is that </w:t>
      </w:r>
      <w:r w:rsidRPr="002A63BA">
        <w:rPr>
          <w:rFonts w:ascii="Open Sans" w:hAnsi="Open Sans" w:cs="Open Sans"/>
          <w:i/>
        </w:rPr>
        <w:t>performance expectancy</w:t>
      </w:r>
      <w:r w:rsidRPr="002A63BA" w:rsidDel="00AB6DE0">
        <w:rPr>
          <w:rFonts w:ascii="Open Sans" w:hAnsi="Open Sans" w:cs="Open Sans"/>
          <w:i/>
        </w:rPr>
        <w:t xml:space="preserve"> </w:t>
      </w:r>
      <w:r w:rsidRPr="002A63BA">
        <w:rPr>
          <w:rFonts w:ascii="Open Sans" w:hAnsi="Open Sans" w:cs="Open Sans"/>
          <w:i/>
        </w:rPr>
        <w:t>will positively affect the behavioral intention to use the Nextbike system</w:t>
      </w:r>
      <w:r w:rsidRPr="002A63BA">
        <w:rPr>
          <w:rFonts w:ascii="Open Sans" w:hAnsi="Open Sans" w:cs="Open Sans"/>
        </w:rPr>
        <w:t xml:space="preserve"> (H1). </w:t>
      </w:r>
    </w:p>
    <w:p w14:paraId="00A1D975"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t>Effort expectancy</w:t>
      </w:r>
      <w:r w:rsidRPr="002A63BA">
        <w:rPr>
          <w:rFonts w:ascii="Open Sans" w:hAnsi="Open Sans" w:cs="Open Sans"/>
        </w:rPr>
        <w:t xml:space="preserve"> refers to the level of simplicity tied with the use of the system. Regardless of how good the system is as a solution to the problem, its applicability completely fails if users cannot learn to use it. According to Alalwan et al. (2017), an individual's intention to use a system is predicted not only by the positive features of the system but also by the level of ease of use, in other words, as the effort required to get used to and learn a new system rises, the users are less likely actually to use the system. The hypothesis is that the </w:t>
      </w:r>
      <w:r w:rsidRPr="002A63BA">
        <w:rPr>
          <w:rFonts w:ascii="Open Sans" w:hAnsi="Open Sans" w:cs="Open Sans"/>
          <w:i/>
        </w:rPr>
        <w:t>effort expectancy will positively affect the behavioral intention to use the Nextbike system</w:t>
      </w:r>
      <w:r w:rsidRPr="002A63BA">
        <w:rPr>
          <w:rFonts w:ascii="Open Sans" w:hAnsi="Open Sans" w:cs="Open Sans"/>
        </w:rPr>
        <w:t xml:space="preserve"> (H2).</w:t>
      </w:r>
    </w:p>
    <w:p w14:paraId="5C201C84"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t>Social influence</w:t>
      </w:r>
      <w:r w:rsidRPr="002A63BA">
        <w:rPr>
          <w:rFonts w:ascii="Open Sans" w:hAnsi="Open Sans" w:cs="Open Sans"/>
        </w:rPr>
        <w:t xml:space="preserve"> refers to an individual’s perception of others’ opinions about whether or not they should use new technology (Venkatesh et al., 2003). Social influence can come from various sources, such as family, reference groups, friends, colleagues, etc. (Alawan et al., 2017). Therefore, if the social impact of an individual's environment on the new technology is negative, that individual's opinion will be tilted to the negative side. On the other hand, if the social influence is positive, it is more likely that </w:t>
      </w:r>
      <w:r w:rsidRPr="002A63BA">
        <w:rPr>
          <w:rFonts w:ascii="Open Sans" w:hAnsi="Open Sans" w:cs="Open Sans"/>
          <w:i/>
        </w:rPr>
        <w:t>social impact will positively affect behavioral intention to use the Nextbike system</w:t>
      </w:r>
      <w:r w:rsidRPr="002A63BA">
        <w:rPr>
          <w:rFonts w:ascii="Open Sans" w:hAnsi="Open Sans" w:cs="Open Sans"/>
        </w:rPr>
        <w:t xml:space="preserve"> (H3). </w:t>
      </w:r>
    </w:p>
    <w:p w14:paraId="56F2EAF0"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According to Venkatesh et al. (2003), facilitating conditions refer to how an individual believes that an organizational and technical infrastructure exists to support the use of the system. Therefore, the assumption is that the </w:t>
      </w:r>
      <w:r w:rsidRPr="002A63BA">
        <w:rPr>
          <w:rFonts w:ascii="Open Sans" w:hAnsi="Open Sans" w:cs="Open Sans"/>
          <w:i/>
        </w:rPr>
        <w:t>facilitating conditions will positively affect the use (behavior) of the Nextbike system</w:t>
      </w:r>
      <w:r w:rsidRPr="002A63BA">
        <w:rPr>
          <w:rFonts w:ascii="Open Sans" w:hAnsi="Open Sans" w:cs="Open Sans"/>
        </w:rPr>
        <w:t xml:space="preserve"> (H4).  </w:t>
      </w:r>
    </w:p>
    <w:p w14:paraId="402BEF93"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lastRenderedPageBreak/>
        <w:t>Price value</w:t>
      </w:r>
      <w:r w:rsidRPr="002A63BA">
        <w:rPr>
          <w:rFonts w:ascii="Open Sans" w:hAnsi="Open Sans" w:cs="Open Sans"/>
        </w:rPr>
        <w:t xml:space="preserve"> (Dwivedi et al., 2011) refers to the user's perceived value for money. If the user perceives that the value of using the technology is favorable, i.e., that the use is profitable, he is more likely to use it. In case the user thinks that the use of the service is more expensive than it should be, the aversion to the use of technology will increase. Therefore, the </w:t>
      </w:r>
      <w:r w:rsidRPr="002A63BA">
        <w:rPr>
          <w:rFonts w:ascii="Open Sans" w:hAnsi="Open Sans" w:cs="Open Sans"/>
          <w:i/>
        </w:rPr>
        <w:t>price value will positively affect behavioral intention to use the Nextbike system</w:t>
      </w:r>
      <w:r w:rsidRPr="002A63BA">
        <w:rPr>
          <w:rFonts w:ascii="Open Sans" w:hAnsi="Open Sans" w:cs="Open Sans"/>
        </w:rPr>
        <w:t xml:space="preserve"> (H5).</w:t>
      </w:r>
    </w:p>
    <w:p w14:paraId="7092B3F0"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t>Perceived risk</w:t>
      </w:r>
      <w:r w:rsidRPr="002A63BA">
        <w:rPr>
          <w:rFonts w:ascii="Open Sans" w:hAnsi="Open Sans" w:cs="Open Sans"/>
        </w:rPr>
        <w:t xml:space="preserve"> is related to users that sense any likely losses that could arise as a result of the uncertainties of utilizing technology, while the anticipated losses may involve any unfavorable results to end-users like financial losses, the violation of privacy, psychological concern, waiting time, etc. (Kofi Penney et al.,  2021). It is hypothesized that the </w:t>
      </w:r>
      <w:r w:rsidRPr="002A63BA">
        <w:rPr>
          <w:rFonts w:ascii="Open Sans" w:hAnsi="Open Sans" w:cs="Open Sans"/>
          <w:i/>
        </w:rPr>
        <w:t>perceived risk will positively affect behavioral intention to use the Nextbike system</w:t>
      </w:r>
      <w:r w:rsidRPr="002A63BA">
        <w:rPr>
          <w:rFonts w:ascii="Open Sans" w:hAnsi="Open Sans" w:cs="Open Sans"/>
        </w:rPr>
        <w:t xml:space="preserve"> (H6).</w:t>
      </w:r>
    </w:p>
    <w:p w14:paraId="470E00B6"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i/>
        </w:rPr>
        <w:t>Environmental awareness</w:t>
      </w:r>
      <w:r w:rsidRPr="002A63BA">
        <w:rPr>
          <w:rFonts w:ascii="Open Sans" w:hAnsi="Open Sans" w:cs="Open Sans"/>
        </w:rPr>
        <w:t xml:space="preserve"> refers to the environmental effects of using a public bicycle sharing system on the environment, as opposed to alternative opportunities for public and private mobility, so the assumption is that </w:t>
      </w:r>
      <w:r w:rsidRPr="002A63BA">
        <w:rPr>
          <w:rFonts w:ascii="Open Sans" w:hAnsi="Open Sans" w:cs="Open Sans"/>
          <w:i/>
        </w:rPr>
        <w:t>environmental awareness will positively affect behavioral intention to use the Nextbike system</w:t>
      </w:r>
      <w:r w:rsidRPr="002A63BA">
        <w:rPr>
          <w:rFonts w:ascii="Open Sans" w:hAnsi="Open Sans" w:cs="Open Sans"/>
        </w:rPr>
        <w:t xml:space="preserve"> (H7). </w:t>
      </w:r>
    </w:p>
    <w:p w14:paraId="7F3E3023"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Furthermore, cycling also requires some level of physical activity, which also directly impacts health. For that reason, it is assumed that </w:t>
      </w:r>
      <w:r w:rsidRPr="002A63BA">
        <w:rPr>
          <w:rFonts w:ascii="Open Sans" w:hAnsi="Open Sans" w:cs="Open Sans"/>
          <w:i/>
        </w:rPr>
        <w:t>physical activity will positively affect behavioral intention to use the Nextbike system</w:t>
      </w:r>
      <w:r w:rsidRPr="002A63BA">
        <w:rPr>
          <w:rFonts w:ascii="Open Sans" w:hAnsi="Open Sans" w:cs="Open Sans"/>
        </w:rPr>
        <w:t xml:space="preserve"> (H8).</w:t>
      </w:r>
    </w:p>
    <w:p w14:paraId="0FC9AFBF" w14:textId="77777777" w:rsidR="007C3C4B" w:rsidRPr="002A63BA" w:rsidRDefault="007C3C4B" w:rsidP="00FF3EE4">
      <w:pPr>
        <w:pStyle w:val="Tijeloteksta"/>
        <w:spacing w:line="276" w:lineRule="auto"/>
        <w:rPr>
          <w:rFonts w:ascii="Open Sans" w:hAnsi="Open Sans" w:cs="Open Sans"/>
        </w:rPr>
      </w:pPr>
      <w:r w:rsidRPr="002A63BA">
        <w:rPr>
          <w:rFonts w:ascii="Open Sans" w:hAnsi="Open Sans" w:cs="Open Sans"/>
        </w:rPr>
        <w:t xml:space="preserve">While performance expectancy, effort expectancy, social influence, price value, perceived risk, environmental awareness, and physical activity are the main predictors of behavioral </w:t>
      </w:r>
      <w:r w:rsidRPr="002A63BA">
        <w:rPr>
          <w:rFonts w:ascii="Open Sans" w:hAnsi="Open Sans" w:cs="Open Sans"/>
          <w:i/>
        </w:rPr>
        <w:t>intention to use</w:t>
      </w:r>
      <w:r w:rsidRPr="002A63BA">
        <w:rPr>
          <w:rFonts w:ascii="Open Sans" w:hAnsi="Open Sans" w:cs="Open Sans"/>
        </w:rPr>
        <w:t xml:space="preserve"> technology, variables behavioral intention to use and facilitating conditions affect the </w:t>
      </w:r>
      <w:r w:rsidRPr="002A63BA">
        <w:rPr>
          <w:rFonts w:ascii="Open Sans" w:hAnsi="Open Sans" w:cs="Open Sans"/>
          <w:i/>
        </w:rPr>
        <w:t>use</w:t>
      </w:r>
      <w:r w:rsidRPr="002A63BA">
        <w:rPr>
          <w:rFonts w:ascii="Open Sans" w:hAnsi="Open Sans" w:cs="Open Sans"/>
        </w:rPr>
        <w:t xml:space="preserve"> behavior. </w:t>
      </w:r>
      <w:r w:rsidRPr="002A63BA">
        <w:rPr>
          <w:rFonts w:ascii="Open Sans" w:hAnsi="Open Sans" w:cs="Open Sans"/>
          <w:i/>
        </w:rPr>
        <w:t>Behavioral intention (that refers to the user's overall attitude towards technology) will positively affect the use behavior</w:t>
      </w:r>
      <w:r w:rsidRPr="002A63BA">
        <w:rPr>
          <w:rFonts w:ascii="Open Sans" w:hAnsi="Open Sans" w:cs="Open Sans"/>
        </w:rPr>
        <w:t xml:space="preserve"> (H9).</w:t>
      </w:r>
    </w:p>
    <w:p w14:paraId="4767DDC5" w14:textId="651C4AE8" w:rsidR="007C3C4B" w:rsidRDefault="007C3C4B" w:rsidP="00FF3EE4">
      <w:pPr>
        <w:pStyle w:val="Tijeloteksta"/>
        <w:spacing w:line="276" w:lineRule="auto"/>
        <w:rPr>
          <w:rFonts w:ascii="Open Sans" w:hAnsi="Open Sans" w:cs="Open Sans"/>
        </w:rPr>
      </w:pPr>
    </w:p>
    <w:p w14:paraId="0972933B" w14:textId="77777777" w:rsidR="00A06A62" w:rsidRPr="002A63BA" w:rsidRDefault="00A06A62" w:rsidP="00FF3EE4">
      <w:pPr>
        <w:pStyle w:val="Tijeloteksta"/>
        <w:spacing w:line="276" w:lineRule="auto"/>
        <w:rPr>
          <w:rFonts w:ascii="Open Sans" w:hAnsi="Open Sans" w:cs="Open Sans"/>
        </w:rPr>
      </w:pPr>
    </w:p>
    <w:p w14:paraId="76B3AEEC" w14:textId="77777777" w:rsidR="007C3C4B" w:rsidRPr="002A63BA" w:rsidRDefault="007C3C4B" w:rsidP="00A06A62">
      <w:pPr>
        <w:pStyle w:val="N1"/>
      </w:pPr>
      <w:r w:rsidRPr="002A63BA">
        <w:lastRenderedPageBreak/>
        <w:t>Data and Methods</w:t>
      </w:r>
    </w:p>
    <w:p w14:paraId="664A8433" w14:textId="77777777" w:rsidR="007C3C4B" w:rsidRPr="002A63BA" w:rsidRDefault="007C3C4B" w:rsidP="00FF3EE4">
      <w:pPr>
        <w:pStyle w:val="Naslov2"/>
        <w:spacing w:line="276" w:lineRule="auto"/>
        <w:rPr>
          <w:rFonts w:ascii="Open Sans" w:hAnsi="Open Sans" w:cs="Open Sans"/>
          <w:color w:val="auto"/>
          <w:sz w:val="22"/>
          <w:szCs w:val="22"/>
        </w:rPr>
      </w:pPr>
      <w:r w:rsidRPr="002A63BA">
        <w:rPr>
          <w:rFonts w:ascii="Open Sans" w:hAnsi="Open Sans" w:cs="Open Sans"/>
          <w:color w:val="auto"/>
          <w:sz w:val="22"/>
          <w:szCs w:val="22"/>
        </w:rPr>
        <w:t>Research instrument</w:t>
      </w:r>
    </w:p>
    <w:p w14:paraId="4FEAE724" w14:textId="0B86F5F6" w:rsidR="007C3C4B" w:rsidRPr="00A06A62" w:rsidRDefault="007C3C4B" w:rsidP="00FF3EE4">
      <w:pPr>
        <w:spacing w:line="276" w:lineRule="auto"/>
        <w:rPr>
          <w:rFonts w:ascii="Open Sans" w:hAnsi="Open Sans" w:cs="Open Sans"/>
        </w:rPr>
      </w:pPr>
      <w:r w:rsidRPr="002A63BA">
        <w:rPr>
          <w:rFonts w:ascii="Open Sans" w:hAnsi="Open Sans" w:cs="Open Sans"/>
        </w:rPr>
        <w:t xml:space="preserve">The main constructs of the questionnaire were: </w:t>
      </w:r>
      <w:r w:rsidRPr="002A63BA">
        <w:rPr>
          <w:rFonts w:ascii="Open Sans" w:hAnsi="Open Sans" w:cs="Open Sans"/>
          <w:i/>
        </w:rPr>
        <w:t>performance expectancy</w:t>
      </w:r>
      <w:r w:rsidRPr="002A63BA">
        <w:rPr>
          <w:rFonts w:ascii="Open Sans" w:hAnsi="Open Sans" w:cs="Open Sans"/>
        </w:rPr>
        <w:t xml:space="preserve">, </w:t>
      </w:r>
      <w:r w:rsidRPr="002A63BA">
        <w:rPr>
          <w:rFonts w:ascii="Open Sans" w:hAnsi="Open Sans" w:cs="Open Sans"/>
          <w:i/>
        </w:rPr>
        <w:t>effort expectancy</w:t>
      </w:r>
      <w:r w:rsidRPr="002A63BA">
        <w:rPr>
          <w:rFonts w:ascii="Open Sans" w:hAnsi="Open Sans" w:cs="Open Sans"/>
        </w:rPr>
        <w:t xml:space="preserve">, </w:t>
      </w:r>
      <w:r w:rsidRPr="002A63BA">
        <w:rPr>
          <w:rFonts w:ascii="Open Sans" w:hAnsi="Open Sans" w:cs="Open Sans"/>
          <w:i/>
        </w:rPr>
        <w:t>social influence</w:t>
      </w:r>
      <w:r w:rsidRPr="002A63BA">
        <w:rPr>
          <w:rFonts w:ascii="Open Sans" w:hAnsi="Open Sans" w:cs="Open Sans"/>
        </w:rPr>
        <w:t xml:space="preserve">, </w:t>
      </w:r>
      <w:r w:rsidRPr="002A63BA">
        <w:rPr>
          <w:rFonts w:ascii="Open Sans" w:hAnsi="Open Sans" w:cs="Open Sans"/>
          <w:i/>
        </w:rPr>
        <w:t>facilitating conditions</w:t>
      </w:r>
      <w:r w:rsidRPr="002A63BA">
        <w:rPr>
          <w:rFonts w:ascii="Open Sans" w:hAnsi="Open Sans" w:cs="Open Sans"/>
        </w:rPr>
        <w:t xml:space="preserve">, </w:t>
      </w:r>
      <w:r w:rsidRPr="002A63BA">
        <w:rPr>
          <w:rFonts w:ascii="Open Sans" w:hAnsi="Open Sans" w:cs="Open Sans"/>
          <w:i/>
        </w:rPr>
        <w:t>price value</w:t>
      </w:r>
      <w:r w:rsidRPr="002A63BA">
        <w:rPr>
          <w:rFonts w:ascii="Open Sans" w:hAnsi="Open Sans" w:cs="Open Sans"/>
        </w:rPr>
        <w:t xml:space="preserve">, </w:t>
      </w:r>
      <w:r w:rsidRPr="002A63BA">
        <w:rPr>
          <w:rFonts w:ascii="Open Sans" w:hAnsi="Open Sans" w:cs="Open Sans"/>
          <w:i/>
        </w:rPr>
        <w:t>perceived risk</w:t>
      </w:r>
      <w:r w:rsidRPr="002A63BA">
        <w:rPr>
          <w:rFonts w:ascii="Open Sans" w:hAnsi="Open Sans" w:cs="Open Sans"/>
        </w:rPr>
        <w:t xml:space="preserve">, </w:t>
      </w:r>
      <w:r w:rsidRPr="002A63BA">
        <w:rPr>
          <w:rFonts w:ascii="Open Sans" w:hAnsi="Open Sans" w:cs="Open Sans"/>
          <w:i/>
        </w:rPr>
        <w:t>environmental awareness</w:t>
      </w:r>
      <w:r w:rsidRPr="002A63BA">
        <w:rPr>
          <w:rFonts w:ascii="Open Sans" w:hAnsi="Open Sans" w:cs="Open Sans"/>
        </w:rPr>
        <w:t xml:space="preserve">, </w:t>
      </w:r>
      <w:r w:rsidRPr="002A63BA">
        <w:rPr>
          <w:rFonts w:ascii="Open Sans" w:hAnsi="Open Sans" w:cs="Open Sans"/>
          <w:i/>
        </w:rPr>
        <w:t>physical activity</w:t>
      </w:r>
      <w:r w:rsidRPr="002A63BA">
        <w:rPr>
          <w:rFonts w:ascii="Open Sans" w:hAnsi="Open Sans" w:cs="Open Sans"/>
        </w:rPr>
        <w:t xml:space="preserve">, and </w:t>
      </w:r>
      <w:r w:rsidRPr="002A63BA">
        <w:rPr>
          <w:rFonts w:ascii="Open Sans" w:hAnsi="Open Sans" w:cs="Open Sans"/>
          <w:i/>
        </w:rPr>
        <w:t>behavioral intention</w:t>
      </w:r>
      <w:r w:rsidRPr="002A63BA">
        <w:rPr>
          <w:rFonts w:ascii="Open Sans" w:hAnsi="Open Sans" w:cs="Open Sans"/>
        </w:rPr>
        <w:t>. The questionnaire consists of 30 items measured by the Likert scale from 1 (</w:t>
      </w:r>
      <w:r w:rsidRPr="002A63BA">
        <w:rPr>
          <w:rFonts w:ascii="Open Sans" w:hAnsi="Open Sans" w:cs="Open Sans"/>
          <w:i/>
        </w:rPr>
        <w:t>I completely disagree</w:t>
      </w:r>
      <w:r w:rsidRPr="002A63BA">
        <w:rPr>
          <w:rFonts w:ascii="Open Sans" w:hAnsi="Open Sans" w:cs="Open Sans"/>
        </w:rPr>
        <w:t>) to 7 (</w:t>
      </w:r>
      <w:r w:rsidRPr="002A63BA">
        <w:rPr>
          <w:rFonts w:ascii="Open Sans" w:hAnsi="Open Sans" w:cs="Open Sans"/>
          <w:i/>
        </w:rPr>
        <w:t>I completely agree</w:t>
      </w:r>
      <w:r w:rsidRPr="002A63BA">
        <w:rPr>
          <w:rFonts w:ascii="Open Sans" w:hAnsi="Open Sans" w:cs="Open Sans"/>
        </w:rPr>
        <w:t>). A total of 239 questionnaires were collected, of which 35 respondents partially completed the questionnaire and were rejected from further analysis. Therefore, the total number of questionnaires in the analysis was 204. The questionnaire was created using the LimeSurvey tool and conducted online. Responses to the questionnaire were collected over two months and were collected in July and August by sending questionnaires directly to respondents and with the help of Nextbike staff.</w:t>
      </w:r>
    </w:p>
    <w:p w14:paraId="01B23E9A" w14:textId="77777777" w:rsidR="007C3C4B" w:rsidRPr="002A63BA" w:rsidRDefault="007C3C4B" w:rsidP="00FF3EE4">
      <w:pPr>
        <w:pStyle w:val="Naslov2"/>
        <w:spacing w:line="276" w:lineRule="auto"/>
        <w:rPr>
          <w:rFonts w:ascii="Open Sans" w:hAnsi="Open Sans" w:cs="Open Sans"/>
          <w:color w:val="auto"/>
          <w:sz w:val="22"/>
          <w:szCs w:val="22"/>
        </w:rPr>
      </w:pPr>
      <w:r w:rsidRPr="002A63BA">
        <w:rPr>
          <w:rFonts w:ascii="Open Sans" w:hAnsi="Open Sans" w:cs="Open Sans"/>
          <w:color w:val="auto"/>
          <w:sz w:val="22"/>
          <w:szCs w:val="22"/>
        </w:rPr>
        <w:t>Participant demographics</w:t>
      </w:r>
    </w:p>
    <w:p w14:paraId="2E184A5A" w14:textId="77777777" w:rsidR="007C3C4B" w:rsidRPr="002A63BA" w:rsidRDefault="007C3C4B" w:rsidP="00FF3EE4">
      <w:pPr>
        <w:spacing w:line="276" w:lineRule="auto"/>
        <w:rPr>
          <w:rFonts w:ascii="Open Sans" w:hAnsi="Open Sans" w:cs="Open Sans"/>
        </w:rPr>
      </w:pPr>
      <w:r w:rsidRPr="002A63BA">
        <w:rPr>
          <w:rFonts w:ascii="Open Sans" w:hAnsi="Open Sans" w:cs="Open Sans"/>
        </w:rPr>
        <w:t>Out of a total of 204 respondents, 94 (46%) are aged 25-34 years, 56 respondents (27%) are aged 35-44 years, and 43 (21%) are aged 18-24 years. Of the other age groups, 9 respondents (4%) answered that they belong to 45-60 years, while one person (0.49%) is in the age group of 60+ years. The majority of respondents are male (67%), compared to 33% female. A total of 110 (53%) respondents owned a car. On the other hand, owning a bicycle is much more polarizing, whereas 44 (22%) respondents own a bicycle. Usage experience refers to the user's frequency of use of the Nextbike system. Of the 204 respondents, 102 (50%) answered that they never use the Nextbike system, while 50% used the system at least once. Of these, 38 (19%) use the system once a month,  30 (15%) respondents use the system once a week, 27 (13%) respondents use the system several times a week, and 7 (3%) respondents use Nextbike daily.</w:t>
      </w:r>
    </w:p>
    <w:p w14:paraId="2E5F3428" w14:textId="77777777" w:rsidR="007C3C4B" w:rsidRPr="002A63BA" w:rsidRDefault="007C3C4B" w:rsidP="00FF3EE4">
      <w:pPr>
        <w:pStyle w:val="Naslov2"/>
        <w:spacing w:line="276" w:lineRule="auto"/>
        <w:rPr>
          <w:rFonts w:ascii="Open Sans" w:eastAsia="Times New Roman" w:hAnsi="Open Sans" w:cs="Open Sans"/>
          <w:color w:val="auto"/>
          <w:sz w:val="22"/>
          <w:szCs w:val="22"/>
        </w:rPr>
      </w:pPr>
      <w:r w:rsidRPr="002A63BA">
        <w:rPr>
          <w:rFonts w:ascii="Open Sans" w:eastAsia="Times New Roman" w:hAnsi="Open Sans" w:cs="Open Sans"/>
          <w:color w:val="auto"/>
          <w:sz w:val="22"/>
          <w:szCs w:val="22"/>
        </w:rPr>
        <w:lastRenderedPageBreak/>
        <w:t>Data analysis methods</w:t>
      </w:r>
    </w:p>
    <w:p w14:paraId="1560BEC5" w14:textId="77777777" w:rsidR="007C3C4B" w:rsidRPr="002A63BA" w:rsidRDefault="007C3C4B" w:rsidP="00FF3EE4">
      <w:pPr>
        <w:pStyle w:val="Tijeloteksta"/>
        <w:spacing w:before="159" w:line="276" w:lineRule="auto"/>
        <w:rPr>
          <w:rFonts w:ascii="Open Sans" w:hAnsi="Open Sans" w:cs="Open Sans"/>
        </w:rPr>
      </w:pPr>
      <w:r w:rsidRPr="002A63BA">
        <w:rPr>
          <w:rFonts w:ascii="Open Sans" w:hAnsi="Open Sans" w:cs="Open Sans"/>
        </w:rPr>
        <w:t xml:space="preserve">For defining the variable structure of the proposed research model, factor analysis was applied (Hair et al., 2010). Only items whose difference in factor cross-loadings was 0.2 or greater and the factor loading was at least 0.4 were kept. The minimal sample size has been achieved (200+), and the ratio of participants and variables is satisfactory (Hair et al., 2010). To check internal consistency, Cronbach's alpha coefficient was calculated (Cronbach, 1951). In addition, regression analysis was used to determine the relative contribution (independent relationship) for each explanatory variable by controlling for the effects of other explanatory variables. </w:t>
      </w:r>
    </w:p>
    <w:p w14:paraId="3888D2F7" w14:textId="49B30096" w:rsidR="007C3C4B" w:rsidRPr="002A63BA" w:rsidRDefault="007C3C4B" w:rsidP="00A06A62">
      <w:pPr>
        <w:pStyle w:val="N1"/>
      </w:pPr>
      <w:r w:rsidRPr="002A63BA">
        <w:t>Results</w:t>
      </w:r>
    </w:p>
    <w:p w14:paraId="669A7A08" w14:textId="5B6B2911" w:rsidR="007C3C4B" w:rsidRPr="00A06A62" w:rsidRDefault="007C3C4B" w:rsidP="00FF3EE4">
      <w:pPr>
        <w:spacing w:line="276" w:lineRule="auto"/>
        <w:rPr>
          <w:rFonts w:ascii="Open Sans" w:hAnsi="Open Sans" w:cs="Open Sans"/>
        </w:rPr>
      </w:pPr>
      <w:r w:rsidRPr="002A63BA">
        <w:rPr>
          <w:rFonts w:ascii="Open Sans" w:hAnsi="Open Sans" w:cs="Open Sans"/>
        </w:rPr>
        <w:t>Although values for skewness and kurtosis between -2 and +2 are considered acceptable to prove a normal distribution (George and Mallery, 2010), other lower acceptable ranges for skewness and kurtosis below +1.5 and above -1.5 (Tabachnick and Fidell, 2013) have been advocated to consider the distributions normal. The mean does not vary significantly and ranges from 3.33 to 5.08 for the items on a scale of 1 to 7. Only one item (</w:t>
      </w:r>
      <w:r w:rsidRPr="002A63BA">
        <w:rPr>
          <w:rFonts w:ascii="Open Sans" w:hAnsi="Open Sans" w:cs="Open Sans"/>
          <w:i/>
        </w:rPr>
        <w:t>usage behavior</w:t>
      </w:r>
      <w:r w:rsidRPr="002A63BA">
        <w:rPr>
          <w:rFonts w:ascii="Open Sans" w:hAnsi="Open Sans" w:cs="Open Sans"/>
        </w:rPr>
        <w:t>) has a mean of 2.01, but this item is measured on a scale of 1 to 5. All distributions are normal, i.e., they meet the criterion of skewness or kurtosis below +1.5 and above -1.5. Descriptive statistics are calculated and presented in Table 1.</w:t>
      </w:r>
    </w:p>
    <w:p w14:paraId="4F488269" w14:textId="77777777" w:rsidR="007C3C4B" w:rsidRPr="002A63BA" w:rsidRDefault="007C3C4B" w:rsidP="00FF3EE4">
      <w:pPr>
        <w:spacing w:line="276" w:lineRule="auto"/>
        <w:rPr>
          <w:rFonts w:ascii="Open Sans" w:hAnsi="Open Sans" w:cs="Open Sans"/>
        </w:rPr>
      </w:pPr>
      <w:r w:rsidRPr="002A63BA">
        <w:rPr>
          <w:rFonts w:ascii="Open Sans" w:hAnsi="Open Sans" w:cs="Open Sans"/>
        </w:rPr>
        <w:t>Table 1. Descriptive statistics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091"/>
        <w:gridCol w:w="487"/>
        <w:gridCol w:w="421"/>
        <w:gridCol w:w="422"/>
        <w:gridCol w:w="555"/>
        <w:gridCol w:w="697"/>
        <w:gridCol w:w="823"/>
        <w:gridCol w:w="1009"/>
        <w:gridCol w:w="923"/>
      </w:tblGrid>
      <w:tr w:rsidR="007C3C4B" w:rsidRPr="002A63BA" w14:paraId="3FF75BEE" w14:textId="77777777" w:rsidTr="007C3C4B">
        <w:trPr>
          <w:cantSplit/>
          <w:jc w:val="center"/>
        </w:trPr>
        <w:tc>
          <w:tcPr>
            <w:tcW w:w="2155" w:type="dxa"/>
            <w:shd w:val="clear" w:color="auto" w:fill="FFFFFF"/>
            <w:vAlign w:val="center"/>
          </w:tcPr>
          <w:p w14:paraId="2BBFD98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Construct</w:t>
            </w:r>
          </w:p>
        </w:tc>
        <w:tc>
          <w:tcPr>
            <w:tcW w:w="488" w:type="dxa"/>
            <w:shd w:val="clear" w:color="auto" w:fill="FFFFFF"/>
            <w:vAlign w:val="center"/>
          </w:tcPr>
          <w:p w14:paraId="7A07D7C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Item</w:t>
            </w:r>
          </w:p>
        </w:tc>
        <w:tc>
          <w:tcPr>
            <w:tcW w:w="425" w:type="dxa"/>
            <w:shd w:val="clear" w:color="auto" w:fill="FFFFFF"/>
            <w:vAlign w:val="center"/>
          </w:tcPr>
          <w:p w14:paraId="19EE6DD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N</w:t>
            </w:r>
          </w:p>
        </w:tc>
        <w:tc>
          <w:tcPr>
            <w:tcW w:w="425" w:type="dxa"/>
            <w:shd w:val="clear" w:color="auto" w:fill="FFFFFF"/>
            <w:vAlign w:val="center"/>
          </w:tcPr>
          <w:p w14:paraId="6AF8F54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Min</w:t>
            </w:r>
          </w:p>
        </w:tc>
        <w:tc>
          <w:tcPr>
            <w:tcW w:w="567" w:type="dxa"/>
            <w:shd w:val="clear" w:color="auto" w:fill="FFFFFF"/>
            <w:vAlign w:val="center"/>
          </w:tcPr>
          <w:p w14:paraId="6BE6574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Max</w:t>
            </w:r>
          </w:p>
        </w:tc>
        <w:tc>
          <w:tcPr>
            <w:tcW w:w="709" w:type="dxa"/>
            <w:shd w:val="clear" w:color="auto" w:fill="FFFFFF"/>
            <w:vAlign w:val="center"/>
          </w:tcPr>
          <w:p w14:paraId="7EAFC29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Mean</w:t>
            </w:r>
          </w:p>
        </w:tc>
        <w:tc>
          <w:tcPr>
            <w:tcW w:w="851" w:type="dxa"/>
            <w:shd w:val="clear" w:color="auto" w:fill="FFFFFF"/>
            <w:vAlign w:val="center"/>
          </w:tcPr>
          <w:p w14:paraId="37C82B4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Std. Dev.</w:t>
            </w:r>
          </w:p>
        </w:tc>
        <w:tc>
          <w:tcPr>
            <w:tcW w:w="850" w:type="dxa"/>
            <w:shd w:val="clear" w:color="auto" w:fill="FFFFFF"/>
            <w:vAlign w:val="center"/>
          </w:tcPr>
          <w:p w14:paraId="15317E0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Skewness</w:t>
            </w:r>
          </w:p>
        </w:tc>
        <w:tc>
          <w:tcPr>
            <w:tcW w:w="851" w:type="dxa"/>
            <w:shd w:val="clear" w:color="auto" w:fill="FFFFFF"/>
            <w:vAlign w:val="center"/>
          </w:tcPr>
          <w:p w14:paraId="26BD1C6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Courtesy</w:t>
            </w:r>
          </w:p>
        </w:tc>
      </w:tr>
      <w:tr w:rsidR="007C3C4B" w:rsidRPr="002A63BA" w14:paraId="7218087F" w14:textId="77777777" w:rsidTr="007C3C4B">
        <w:trPr>
          <w:cantSplit/>
          <w:jc w:val="center"/>
        </w:trPr>
        <w:tc>
          <w:tcPr>
            <w:tcW w:w="2155" w:type="dxa"/>
            <w:vMerge w:val="restart"/>
            <w:shd w:val="clear" w:color="auto" w:fill="FFFFFF"/>
          </w:tcPr>
          <w:p w14:paraId="0F8EA25D"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Performance Expectancy</w:t>
            </w:r>
          </w:p>
          <w:p w14:paraId="6DF788A6"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w:t>
            </w:r>
          </w:p>
        </w:tc>
        <w:tc>
          <w:tcPr>
            <w:tcW w:w="488" w:type="dxa"/>
            <w:shd w:val="clear" w:color="auto" w:fill="FFFFFF"/>
          </w:tcPr>
          <w:p w14:paraId="4C42315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PE1</w:t>
            </w:r>
          </w:p>
        </w:tc>
        <w:tc>
          <w:tcPr>
            <w:tcW w:w="425" w:type="dxa"/>
            <w:shd w:val="clear" w:color="auto" w:fill="FFFFFF"/>
            <w:vAlign w:val="center"/>
          </w:tcPr>
          <w:p w14:paraId="226C3D0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2D6D647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58B43B4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15527A3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4,07</w:t>
            </w:r>
          </w:p>
        </w:tc>
        <w:tc>
          <w:tcPr>
            <w:tcW w:w="851" w:type="dxa"/>
            <w:shd w:val="clear" w:color="auto" w:fill="FFFFFF"/>
            <w:vAlign w:val="center"/>
          </w:tcPr>
          <w:p w14:paraId="18277A02"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1,805 </w:t>
            </w:r>
          </w:p>
        </w:tc>
        <w:tc>
          <w:tcPr>
            <w:tcW w:w="850" w:type="dxa"/>
            <w:shd w:val="clear" w:color="auto" w:fill="FFFFFF"/>
            <w:vAlign w:val="center"/>
          </w:tcPr>
          <w:p w14:paraId="3D805307"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-,149</w:t>
            </w:r>
          </w:p>
        </w:tc>
        <w:tc>
          <w:tcPr>
            <w:tcW w:w="851" w:type="dxa"/>
            <w:shd w:val="clear" w:color="auto" w:fill="FFFFFF"/>
            <w:vAlign w:val="center"/>
          </w:tcPr>
          <w:p w14:paraId="7EFE052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-1,089 </w:t>
            </w:r>
          </w:p>
        </w:tc>
      </w:tr>
      <w:tr w:rsidR="007C3C4B" w:rsidRPr="002A63BA" w14:paraId="24C55A1A" w14:textId="77777777" w:rsidTr="007C3C4B">
        <w:trPr>
          <w:cantSplit/>
          <w:jc w:val="center"/>
        </w:trPr>
        <w:tc>
          <w:tcPr>
            <w:tcW w:w="2155" w:type="dxa"/>
            <w:vMerge/>
            <w:shd w:val="clear" w:color="auto" w:fill="FFFFFF"/>
          </w:tcPr>
          <w:p w14:paraId="1F0AE8D9"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0093984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PE2</w:t>
            </w:r>
          </w:p>
        </w:tc>
        <w:tc>
          <w:tcPr>
            <w:tcW w:w="425" w:type="dxa"/>
            <w:shd w:val="clear" w:color="auto" w:fill="FFFFFF"/>
            <w:vAlign w:val="center"/>
          </w:tcPr>
          <w:p w14:paraId="3945FEF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4D53FAE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29CDC17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5584DA7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4,09</w:t>
            </w:r>
          </w:p>
        </w:tc>
        <w:tc>
          <w:tcPr>
            <w:tcW w:w="851" w:type="dxa"/>
            <w:shd w:val="clear" w:color="auto" w:fill="FFFFFF"/>
            <w:vAlign w:val="center"/>
          </w:tcPr>
          <w:p w14:paraId="64BEAD7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1,976 </w:t>
            </w:r>
          </w:p>
        </w:tc>
        <w:tc>
          <w:tcPr>
            <w:tcW w:w="850" w:type="dxa"/>
            <w:shd w:val="clear" w:color="auto" w:fill="FFFFFF"/>
            <w:vAlign w:val="center"/>
          </w:tcPr>
          <w:p w14:paraId="0211E06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-,162</w:t>
            </w:r>
          </w:p>
        </w:tc>
        <w:tc>
          <w:tcPr>
            <w:tcW w:w="851" w:type="dxa"/>
            <w:shd w:val="clear" w:color="auto" w:fill="FFFFFF"/>
            <w:vAlign w:val="center"/>
          </w:tcPr>
          <w:p w14:paraId="02DAF3B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-1,261 </w:t>
            </w:r>
          </w:p>
        </w:tc>
      </w:tr>
      <w:tr w:rsidR="007C3C4B" w:rsidRPr="002A63BA" w14:paraId="1B0A5B57" w14:textId="77777777" w:rsidTr="007C3C4B">
        <w:trPr>
          <w:cantSplit/>
          <w:jc w:val="center"/>
        </w:trPr>
        <w:tc>
          <w:tcPr>
            <w:tcW w:w="2155" w:type="dxa"/>
            <w:vMerge/>
            <w:shd w:val="clear" w:color="auto" w:fill="FFFFFF"/>
          </w:tcPr>
          <w:p w14:paraId="421E6A03"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23D5CDB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PE3</w:t>
            </w:r>
          </w:p>
        </w:tc>
        <w:tc>
          <w:tcPr>
            <w:tcW w:w="425" w:type="dxa"/>
            <w:shd w:val="clear" w:color="auto" w:fill="FFFFFF"/>
            <w:vAlign w:val="center"/>
          </w:tcPr>
          <w:p w14:paraId="5C42543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77A51D7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14693302"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22D68B1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4,26</w:t>
            </w:r>
          </w:p>
        </w:tc>
        <w:tc>
          <w:tcPr>
            <w:tcW w:w="851" w:type="dxa"/>
            <w:shd w:val="clear" w:color="auto" w:fill="FFFFFF"/>
            <w:vAlign w:val="center"/>
          </w:tcPr>
          <w:p w14:paraId="1BA320D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1,965 </w:t>
            </w:r>
          </w:p>
        </w:tc>
        <w:tc>
          <w:tcPr>
            <w:tcW w:w="850" w:type="dxa"/>
            <w:shd w:val="clear" w:color="auto" w:fill="FFFFFF"/>
            <w:vAlign w:val="center"/>
          </w:tcPr>
          <w:p w14:paraId="5C2F9B0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-,190</w:t>
            </w:r>
          </w:p>
        </w:tc>
        <w:tc>
          <w:tcPr>
            <w:tcW w:w="851" w:type="dxa"/>
            <w:shd w:val="clear" w:color="auto" w:fill="FFFFFF"/>
            <w:vAlign w:val="center"/>
          </w:tcPr>
          <w:p w14:paraId="295ACA2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-1,167 </w:t>
            </w:r>
          </w:p>
        </w:tc>
      </w:tr>
      <w:tr w:rsidR="007C3C4B" w:rsidRPr="002A63BA" w14:paraId="65F6106D" w14:textId="77777777" w:rsidTr="007C3C4B">
        <w:trPr>
          <w:cantSplit/>
          <w:jc w:val="center"/>
        </w:trPr>
        <w:tc>
          <w:tcPr>
            <w:tcW w:w="2155" w:type="dxa"/>
            <w:vMerge/>
            <w:shd w:val="clear" w:color="auto" w:fill="FFFFFF"/>
          </w:tcPr>
          <w:p w14:paraId="775EE747"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0EDB845C"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PE4</w:t>
            </w:r>
          </w:p>
        </w:tc>
        <w:tc>
          <w:tcPr>
            <w:tcW w:w="425" w:type="dxa"/>
            <w:shd w:val="clear" w:color="auto" w:fill="FFFFFF"/>
            <w:vAlign w:val="center"/>
          </w:tcPr>
          <w:p w14:paraId="167170C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8FF397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124D2BA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35917FB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4,18</w:t>
            </w:r>
          </w:p>
        </w:tc>
        <w:tc>
          <w:tcPr>
            <w:tcW w:w="851" w:type="dxa"/>
            <w:shd w:val="clear" w:color="auto" w:fill="FFFFFF"/>
            <w:vAlign w:val="center"/>
          </w:tcPr>
          <w:p w14:paraId="29DC55B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1,945 </w:t>
            </w:r>
          </w:p>
        </w:tc>
        <w:tc>
          <w:tcPr>
            <w:tcW w:w="850" w:type="dxa"/>
            <w:shd w:val="clear" w:color="auto" w:fill="FFFFFF"/>
            <w:vAlign w:val="center"/>
          </w:tcPr>
          <w:p w14:paraId="04D1DC2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-,100</w:t>
            </w:r>
          </w:p>
        </w:tc>
        <w:tc>
          <w:tcPr>
            <w:tcW w:w="851" w:type="dxa"/>
            <w:shd w:val="clear" w:color="auto" w:fill="FFFFFF"/>
            <w:vAlign w:val="center"/>
          </w:tcPr>
          <w:p w14:paraId="01F66E67"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-1,132 </w:t>
            </w:r>
          </w:p>
        </w:tc>
      </w:tr>
      <w:tr w:rsidR="007C3C4B" w:rsidRPr="002A63BA" w14:paraId="32C2D028" w14:textId="77777777" w:rsidTr="007C3C4B">
        <w:trPr>
          <w:cantSplit/>
          <w:jc w:val="center"/>
        </w:trPr>
        <w:tc>
          <w:tcPr>
            <w:tcW w:w="2155" w:type="dxa"/>
            <w:vMerge w:val="restart"/>
            <w:shd w:val="clear" w:color="auto" w:fill="FFFFFF"/>
          </w:tcPr>
          <w:p w14:paraId="2BE1097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lastRenderedPageBreak/>
              <w:t>Effort Expectancy</w:t>
            </w:r>
          </w:p>
          <w:p w14:paraId="73358308"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w:t>
            </w:r>
          </w:p>
        </w:tc>
        <w:tc>
          <w:tcPr>
            <w:tcW w:w="488" w:type="dxa"/>
            <w:shd w:val="clear" w:color="auto" w:fill="FFFFFF"/>
          </w:tcPr>
          <w:p w14:paraId="66F0B17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EE1</w:t>
            </w:r>
          </w:p>
        </w:tc>
        <w:tc>
          <w:tcPr>
            <w:tcW w:w="425" w:type="dxa"/>
            <w:shd w:val="clear" w:color="auto" w:fill="FFFFFF"/>
            <w:vAlign w:val="center"/>
          </w:tcPr>
          <w:p w14:paraId="3AD4B08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C85929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B54CF3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7F9E6B8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4,61</w:t>
            </w:r>
          </w:p>
        </w:tc>
        <w:tc>
          <w:tcPr>
            <w:tcW w:w="851" w:type="dxa"/>
            <w:shd w:val="clear" w:color="auto" w:fill="FFFFFF"/>
            <w:vAlign w:val="center"/>
          </w:tcPr>
          <w:p w14:paraId="7B91537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1,774 </w:t>
            </w:r>
          </w:p>
        </w:tc>
        <w:tc>
          <w:tcPr>
            <w:tcW w:w="850" w:type="dxa"/>
            <w:shd w:val="clear" w:color="auto" w:fill="FFFFFF"/>
            <w:vAlign w:val="center"/>
          </w:tcPr>
          <w:p w14:paraId="113B180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-,418</w:t>
            </w:r>
          </w:p>
        </w:tc>
        <w:tc>
          <w:tcPr>
            <w:tcW w:w="851" w:type="dxa"/>
            <w:shd w:val="clear" w:color="auto" w:fill="FFFFFF"/>
            <w:vAlign w:val="center"/>
          </w:tcPr>
          <w:p w14:paraId="23168A42"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-,909</w:t>
            </w:r>
          </w:p>
        </w:tc>
      </w:tr>
      <w:tr w:rsidR="007C3C4B" w:rsidRPr="002A63BA" w14:paraId="7330D046" w14:textId="77777777" w:rsidTr="007C3C4B">
        <w:trPr>
          <w:cantSplit/>
          <w:jc w:val="center"/>
        </w:trPr>
        <w:tc>
          <w:tcPr>
            <w:tcW w:w="2155" w:type="dxa"/>
            <w:vMerge/>
            <w:shd w:val="clear" w:color="auto" w:fill="FFFFFF"/>
          </w:tcPr>
          <w:p w14:paraId="76B861A0"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1A8621D3"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EE2</w:t>
            </w:r>
          </w:p>
        </w:tc>
        <w:tc>
          <w:tcPr>
            <w:tcW w:w="425" w:type="dxa"/>
            <w:shd w:val="clear" w:color="auto" w:fill="FFFFFF"/>
            <w:vAlign w:val="center"/>
          </w:tcPr>
          <w:p w14:paraId="26CC684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ACA4B3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0DB4060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4E58D36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4,62</w:t>
            </w:r>
          </w:p>
        </w:tc>
        <w:tc>
          <w:tcPr>
            <w:tcW w:w="851" w:type="dxa"/>
            <w:shd w:val="clear" w:color="auto" w:fill="FFFFFF"/>
            <w:vAlign w:val="center"/>
          </w:tcPr>
          <w:p w14:paraId="40B1DB9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1,809 </w:t>
            </w:r>
          </w:p>
        </w:tc>
        <w:tc>
          <w:tcPr>
            <w:tcW w:w="850" w:type="dxa"/>
            <w:shd w:val="clear" w:color="auto" w:fill="FFFFFF"/>
            <w:vAlign w:val="center"/>
          </w:tcPr>
          <w:p w14:paraId="0243432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-,399</w:t>
            </w:r>
          </w:p>
        </w:tc>
        <w:tc>
          <w:tcPr>
            <w:tcW w:w="851" w:type="dxa"/>
            <w:shd w:val="clear" w:color="auto" w:fill="FFFFFF"/>
            <w:vAlign w:val="center"/>
          </w:tcPr>
          <w:p w14:paraId="6972C65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-,898</w:t>
            </w:r>
          </w:p>
        </w:tc>
      </w:tr>
      <w:tr w:rsidR="007C3C4B" w:rsidRPr="002A63BA" w14:paraId="09E58CFB" w14:textId="77777777" w:rsidTr="007C3C4B">
        <w:trPr>
          <w:cantSplit/>
          <w:jc w:val="center"/>
        </w:trPr>
        <w:tc>
          <w:tcPr>
            <w:tcW w:w="2155" w:type="dxa"/>
            <w:vMerge/>
            <w:shd w:val="clear" w:color="auto" w:fill="FFFFFF"/>
          </w:tcPr>
          <w:p w14:paraId="32B31341"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1AF667F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EE3</w:t>
            </w:r>
          </w:p>
        </w:tc>
        <w:tc>
          <w:tcPr>
            <w:tcW w:w="425" w:type="dxa"/>
            <w:shd w:val="clear" w:color="auto" w:fill="FFFFFF"/>
            <w:vAlign w:val="center"/>
          </w:tcPr>
          <w:p w14:paraId="79FFA09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5EC162C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3BF6571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7478B492"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4,68</w:t>
            </w:r>
          </w:p>
        </w:tc>
        <w:tc>
          <w:tcPr>
            <w:tcW w:w="851" w:type="dxa"/>
            <w:shd w:val="clear" w:color="auto" w:fill="FFFFFF"/>
            <w:vAlign w:val="center"/>
          </w:tcPr>
          <w:p w14:paraId="55B4385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1,841 </w:t>
            </w:r>
          </w:p>
        </w:tc>
        <w:tc>
          <w:tcPr>
            <w:tcW w:w="850" w:type="dxa"/>
            <w:shd w:val="clear" w:color="auto" w:fill="FFFFFF"/>
            <w:vAlign w:val="center"/>
          </w:tcPr>
          <w:p w14:paraId="7DE2C38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-,369</w:t>
            </w:r>
          </w:p>
        </w:tc>
        <w:tc>
          <w:tcPr>
            <w:tcW w:w="851" w:type="dxa"/>
            <w:shd w:val="clear" w:color="auto" w:fill="FFFFFF"/>
            <w:vAlign w:val="center"/>
          </w:tcPr>
          <w:p w14:paraId="7F736B3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-,917</w:t>
            </w:r>
          </w:p>
        </w:tc>
      </w:tr>
      <w:tr w:rsidR="007C3C4B" w:rsidRPr="002A63BA" w14:paraId="6E5669C0" w14:textId="77777777" w:rsidTr="007C3C4B">
        <w:trPr>
          <w:cantSplit/>
          <w:jc w:val="center"/>
        </w:trPr>
        <w:tc>
          <w:tcPr>
            <w:tcW w:w="2155" w:type="dxa"/>
            <w:vMerge/>
            <w:shd w:val="clear" w:color="auto" w:fill="FFFFFF"/>
          </w:tcPr>
          <w:p w14:paraId="465E24DE"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24B92E8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EE4</w:t>
            </w:r>
          </w:p>
        </w:tc>
        <w:tc>
          <w:tcPr>
            <w:tcW w:w="425" w:type="dxa"/>
            <w:shd w:val="clear" w:color="auto" w:fill="FFFFFF"/>
            <w:vAlign w:val="center"/>
          </w:tcPr>
          <w:p w14:paraId="6F3A5DEF"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2D328DD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0777454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05AA3B32"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4,67</w:t>
            </w:r>
          </w:p>
        </w:tc>
        <w:tc>
          <w:tcPr>
            <w:tcW w:w="851" w:type="dxa"/>
            <w:shd w:val="clear" w:color="auto" w:fill="FFFFFF"/>
            <w:vAlign w:val="center"/>
          </w:tcPr>
          <w:p w14:paraId="6EADA4A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1,821 </w:t>
            </w:r>
          </w:p>
        </w:tc>
        <w:tc>
          <w:tcPr>
            <w:tcW w:w="850" w:type="dxa"/>
            <w:shd w:val="clear" w:color="auto" w:fill="FFFFFF"/>
            <w:vAlign w:val="center"/>
          </w:tcPr>
          <w:p w14:paraId="1693BE4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-,413</w:t>
            </w:r>
          </w:p>
        </w:tc>
        <w:tc>
          <w:tcPr>
            <w:tcW w:w="851" w:type="dxa"/>
            <w:shd w:val="clear" w:color="auto" w:fill="FFFFFF"/>
            <w:vAlign w:val="center"/>
          </w:tcPr>
          <w:p w14:paraId="3CF717BC"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-,803</w:t>
            </w:r>
          </w:p>
        </w:tc>
      </w:tr>
      <w:tr w:rsidR="007C3C4B" w:rsidRPr="002A63BA" w14:paraId="4CD45A5F" w14:textId="77777777" w:rsidTr="007C3C4B">
        <w:trPr>
          <w:cantSplit/>
          <w:jc w:val="center"/>
        </w:trPr>
        <w:tc>
          <w:tcPr>
            <w:tcW w:w="2155" w:type="dxa"/>
            <w:vMerge w:val="restart"/>
            <w:shd w:val="clear" w:color="auto" w:fill="FFFFFF"/>
          </w:tcPr>
          <w:p w14:paraId="0423DE8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Social Influence</w:t>
            </w:r>
          </w:p>
          <w:p w14:paraId="6F1C39D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w:t>
            </w:r>
          </w:p>
        </w:tc>
        <w:tc>
          <w:tcPr>
            <w:tcW w:w="488" w:type="dxa"/>
            <w:shd w:val="clear" w:color="auto" w:fill="FFFFFF"/>
          </w:tcPr>
          <w:p w14:paraId="28E46079"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SI1</w:t>
            </w:r>
          </w:p>
        </w:tc>
        <w:tc>
          <w:tcPr>
            <w:tcW w:w="425" w:type="dxa"/>
            <w:shd w:val="clear" w:color="auto" w:fill="FFFFFF"/>
            <w:vAlign w:val="center"/>
          </w:tcPr>
          <w:p w14:paraId="5C55DA9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64AFF4D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4D511DC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3BF0E35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4,23</w:t>
            </w:r>
          </w:p>
        </w:tc>
        <w:tc>
          <w:tcPr>
            <w:tcW w:w="851" w:type="dxa"/>
            <w:shd w:val="clear" w:color="auto" w:fill="FFFFFF"/>
            <w:vAlign w:val="center"/>
          </w:tcPr>
          <w:p w14:paraId="234E5E5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1,354 </w:t>
            </w:r>
          </w:p>
        </w:tc>
        <w:tc>
          <w:tcPr>
            <w:tcW w:w="850" w:type="dxa"/>
            <w:shd w:val="clear" w:color="auto" w:fill="FFFFFF"/>
            <w:vAlign w:val="center"/>
          </w:tcPr>
          <w:p w14:paraId="1086125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-,150</w:t>
            </w:r>
          </w:p>
        </w:tc>
        <w:tc>
          <w:tcPr>
            <w:tcW w:w="851" w:type="dxa"/>
            <w:shd w:val="clear" w:color="auto" w:fill="FFFFFF"/>
            <w:vAlign w:val="center"/>
          </w:tcPr>
          <w:p w14:paraId="027B3CB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-,025</w:t>
            </w:r>
          </w:p>
        </w:tc>
      </w:tr>
      <w:tr w:rsidR="007C3C4B" w:rsidRPr="002A63BA" w14:paraId="6918AA53" w14:textId="77777777" w:rsidTr="007C3C4B">
        <w:trPr>
          <w:cantSplit/>
          <w:jc w:val="center"/>
        </w:trPr>
        <w:tc>
          <w:tcPr>
            <w:tcW w:w="2155" w:type="dxa"/>
            <w:vMerge/>
            <w:shd w:val="clear" w:color="auto" w:fill="FFFFFF"/>
          </w:tcPr>
          <w:p w14:paraId="099BC2F6"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379316A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SI2</w:t>
            </w:r>
          </w:p>
        </w:tc>
        <w:tc>
          <w:tcPr>
            <w:tcW w:w="425" w:type="dxa"/>
            <w:shd w:val="clear" w:color="auto" w:fill="FFFFFF"/>
            <w:vAlign w:val="center"/>
          </w:tcPr>
          <w:p w14:paraId="20D9FDB6"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65E6E33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65A6B1D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4701FD5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4,28</w:t>
            </w:r>
          </w:p>
        </w:tc>
        <w:tc>
          <w:tcPr>
            <w:tcW w:w="851" w:type="dxa"/>
            <w:shd w:val="clear" w:color="auto" w:fill="FFFFFF"/>
            <w:vAlign w:val="center"/>
          </w:tcPr>
          <w:p w14:paraId="3260EA3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1,491 </w:t>
            </w:r>
          </w:p>
        </w:tc>
        <w:tc>
          <w:tcPr>
            <w:tcW w:w="850" w:type="dxa"/>
            <w:shd w:val="clear" w:color="auto" w:fill="FFFFFF"/>
            <w:vAlign w:val="center"/>
          </w:tcPr>
          <w:p w14:paraId="4B052FB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-,075</w:t>
            </w:r>
          </w:p>
        </w:tc>
        <w:tc>
          <w:tcPr>
            <w:tcW w:w="851" w:type="dxa"/>
            <w:shd w:val="clear" w:color="auto" w:fill="FFFFFF"/>
            <w:vAlign w:val="center"/>
          </w:tcPr>
          <w:p w14:paraId="210572F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-,333</w:t>
            </w:r>
          </w:p>
        </w:tc>
      </w:tr>
      <w:tr w:rsidR="007C3C4B" w:rsidRPr="002A63BA" w14:paraId="7DA426BC" w14:textId="77777777" w:rsidTr="007C3C4B">
        <w:trPr>
          <w:cantSplit/>
          <w:jc w:val="center"/>
        </w:trPr>
        <w:tc>
          <w:tcPr>
            <w:tcW w:w="2155" w:type="dxa"/>
            <w:vMerge/>
            <w:shd w:val="clear" w:color="auto" w:fill="FFFFFF"/>
          </w:tcPr>
          <w:p w14:paraId="724B1342"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452EB467"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SI3</w:t>
            </w:r>
          </w:p>
        </w:tc>
        <w:tc>
          <w:tcPr>
            <w:tcW w:w="425" w:type="dxa"/>
            <w:shd w:val="clear" w:color="auto" w:fill="FFFFFF"/>
            <w:vAlign w:val="center"/>
          </w:tcPr>
          <w:p w14:paraId="2BCB9CC6"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3D4A2B1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61644FB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6054414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4,24</w:t>
            </w:r>
          </w:p>
        </w:tc>
        <w:tc>
          <w:tcPr>
            <w:tcW w:w="851" w:type="dxa"/>
            <w:shd w:val="clear" w:color="auto" w:fill="FFFFFF"/>
            <w:vAlign w:val="center"/>
          </w:tcPr>
          <w:p w14:paraId="1B593A6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1,511 </w:t>
            </w:r>
          </w:p>
        </w:tc>
        <w:tc>
          <w:tcPr>
            <w:tcW w:w="850" w:type="dxa"/>
            <w:shd w:val="clear" w:color="auto" w:fill="FFFFFF"/>
            <w:vAlign w:val="center"/>
          </w:tcPr>
          <w:p w14:paraId="492253B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-,025</w:t>
            </w:r>
          </w:p>
        </w:tc>
        <w:tc>
          <w:tcPr>
            <w:tcW w:w="851" w:type="dxa"/>
            <w:shd w:val="clear" w:color="auto" w:fill="FFFFFF"/>
            <w:vAlign w:val="center"/>
          </w:tcPr>
          <w:p w14:paraId="44F171B6"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-,325</w:t>
            </w:r>
          </w:p>
        </w:tc>
      </w:tr>
      <w:tr w:rsidR="007C3C4B" w:rsidRPr="002A63BA" w14:paraId="6B624ACB" w14:textId="77777777" w:rsidTr="007C3C4B">
        <w:trPr>
          <w:cantSplit/>
          <w:jc w:val="center"/>
        </w:trPr>
        <w:tc>
          <w:tcPr>
            <w:tcW w:w="2155" w:type="dxa"/>
            <w:vMerge w:val="restart"/>
            <w:shd w:val="clear" w:color="auto" w:fill="FFFFFF"/>
          </w:tcPr>
          <w:p w14:paraId="1D6EEF6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Facilitating Conditions</w:t>
            </w:r>
          </w:p>
          <w:p w14:paraId="43E36563"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w:t>
            </w:r>
          </w:p>
        </w:tc>
        <w:tc>
          <w:tcPr>
            <w:tcW w:w="488" w:type="dxa"/>
            <w:shd w:val="clear" w:color="auto" w:fill="FFFFFF"/>
          </w:tcPr>
          <w:p w14:paraId="05B5636E"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FC1</w:t>
            </w:r>
          </w:p>
        </w:tc>
        <w:tc>
          <w:tcPr>
            <w:tcW w:w="425" w:type="dxa"/>
            <w:shd w:val="clear" w:color="auto" w:fill="FFFFFF"/>
            <w:vAlign w:val="center"/>
          </w:tcPr>
          <w:p w14:paraId="1AB42BFC"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D081EC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0B9206B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6</w:t>
            </w:r>
          </w:p>
        </w:tc>
        <w:tc>
          <w:tcPr>
            <w:tcW w:w="709" w:type="dxa"/>
            <w:shd w:val="clear" w:color="auto" w:fill="FFFFFF"/>
            <w:vAlign w:val="center"/>
          </w:tcPr>
          <w:p w14:paraId="7C18AAC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3,77</w:t>
            </w:r>
          </w:p>
        </w:tc>
        <w:tc>
          <w:tcPr>
            <w:tcW w:w="851" w:type="dxa"/>
            <w:shd w:val="clear" w:color="auto" w:fill="FFFFFF"/>
            <w:vAlign w:val="center"/>
          </w:tcPr>
          <w:p w14:paraId="595D017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1,495 </w:t>
            </w:r>
          </w:p>
        </w:tc>
        <w:tc>
          <w:tcPr>
            <w:tcW w:w="850" w:type="dxa"/>
            <w:shd w:val="clear" w:color="auto" w:fill="FFFFFF"/>
            <w:vAlign w:val="center"/>
          </w:tcPr>
          <w:p w14:paraId="600D21D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-,234</w:t>
            </w:r>
          </w:p>
        </w:tc>
        <w:tc>
          <w:tcPr>
            <w:tcW w:w="851" w:type="dxa"/>
            <w:shd w:val="clear" w:color="auto" w:fill="FFFFFF"/>
            <w:vAlign w:val="center"/>
          </w:tcPr>
          <w:p w14:paraId="72D8347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-,834</w:t>
            </w:r>
          </w:p>
        </w:tc>
      </w:tr>
      <w:tr w:rsidR="007C3C4B" w:rsidRPr="002A63BA" w14:paraId="6471B910" w14:textId="77777777" w:rsidTr="007C3C4B">
        <w:trPr>
          <w:cantSplit/>
          <w:jc w:val="center"/>
        </w:trPr>
        <w:tc>
          <w:tcPr>
            <w:tcW w:w="2155" w:type="dxa"/>
            <w:vMerge/>
            <w:shd w:val="clear" w:color="auto" w:fill="FFFFFF"/>
          </w:tcPr>
          <w:p w14:paraId="34DC2E2E"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7DE46BD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FC2</w:t>
            </w:r>
          </w:p>
        </w:tc>
        <w:tc>
          <w:tcPr>
            <w:tcW w:w="425" w:type="dxa"/>
            <w:shd w:val="clear" w:color="auto" w:fill="FFFFFF"/>
            <w:vAlign w:val="center"/>
          </w:tcPr>
          <w:p w14:paraId="3F0AA5E6"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68B2D6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45A1292"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3E876DC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4,69</w:t>
            </w:r>
          </w:p>
        </w:tc>
        <w:tc>
          <w:tcPr>
            <w:tcW w:w="851" w:type="dxa"/>
            <w:shd w:val="clear" w:color="auto" w:fill="FFFFFF"/>
            <w:vAlign w:val="center"/>
          </w:tcPr>
          <w:p w14:paraId="6C8BB6D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1,702 </w:t>
            </w:r>
          </w:p>
        </w:tc>
        <w:tc>
          <w:tcPr>
            <w:tcW w:w="850" w:type="dxa"/>
            <w:shd w:val="clear" w:color="auto" w:fill="FFFFFF"/>
            <w:vAlign w:val="center"/>
          </w:tcPr>
          <w:p w14:paraId="46F376B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-,390</w:t>
            </w:r>
          </w:p>
        </w:tc>
        <w:tc>
          <w:tcPr>
            <w:tcW w:w="851" w:type="dxa"/>
            <w:shd w:val="clear" w:color="auto" w:fill="FFFFFF"/>
            <w:vAlign w:val="center"/>
          </w:tcPr>
          <w:p w14:paraId="051DD49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-,793</w:t>
            </w:r>
          </w:p>
        </w:tc>
      </w:tr>
      <w:tr w:rsidR="007C3C4B" w:rsidRPr="002A63BA" w14:paraId="0B630FA2" w14:textId="77777777" w:rsidTr="007C3C4B">
        <w:trPr>
          <w:cantSplit/>
          <w:jc w:val="center"/>
        </w:trPr>
        <w:tc>
          <w:tcPr>
            <w:tcW w:w="2155" w:type="dxa"/>
            <w:vMerge/>
            <w:shd w:val="clear" w:color="auto" w:fill="FFFFFF"/>
          </w:tcPr>
          <w:p w14:paraId="79D57F96"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0E8CA976"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FC3</w:t>
            </w:r>
          </w:p>
        </w:tc>
        <w:tc>
          <w:tcPr>
            <w:tcW w:w="425" w:type="dxa"/>
            <w:shd w:val="clear" w:color="auto" w:fill="FFFFFF"/>
            <w:vAlign w:val="center"/>
          </w:tcPr>
          <w:p w14:paraId="454DD30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55A5B87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51A28FE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6477BFF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4,56</w:t>
            </w:r>
          </w:p>
        </w:tc>
        <w:tc>
          <w:tcPr>
            <w:tcW w:w="851" w:type="dxa"/>
            <w:shd w:val="clear" w:color="auto" w:fill="FFFFFF"/>
            <w:vAlign w:val="center"/>
          </w:tcPr>
          <w:p w14:paraId="610BB31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1,779 </w:t>
            </w:r>
          </w:p>
        </w:tc>
        <w:tc>
          <w:tcPr>
            <w:tcW w:w="850" w:type="dxa"/>
            <w:shd w:val="clear" w:color="auto" w:fill="FFFFFF"/>
            <w:vAlign w:val="center"/>
          </w:tcPr>
          <w:p w14:paraId="18E2E6E1"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-,233</w:t>
            </w:r>
          </w:p>
        </w:tc>
        <w:tc>
          <w:tcPr>
            <w:tcW w:w="851" w:type="dxa"/>
            <w:shd w:val="clear" w:color="auto" w:fill="FFFFFF"/>
            <w:vAlign w:val="center"/>
          </w:tcPr>
          <w:p w14:paraId="53C017EF"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-1,106 </w:t>
            </w:r>
          </w:p>
        </w:tc>
      </w:tr>
      <w:tr w:rsidR="007C3C4B" w:rsidRPr="002A63BA" w14:paraId="5D63530A" w14:textId="77777777" w:rsidTr="007C3C4B">
        <w:trPr>
          <w:cantSplit/>
          <w:jc w:val="center"/>
        </w:trPr>
        <w:tc>
          <w:tcPr>
            <w:tcW w:w="2155" w:type="dxa"/>
            <w:vMerge/>
            <w:shd w:val="clear" w:color="auto" w:fill="FFFFFF"/>
          </w:tcPr>
          <w:p w14:paraId="725B6B3A"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382D84C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FC4</w:t>
            </w:r>
          </w:p>
        </w:tc>
        <w:tc>
          <w:tcPr>
            <w:tcW w:w="425" w:type="dxa"/>
            <w:shd w:val="clear" w:color="auto" w:fill="FFFFFF"/>
            <w:vAlign w:val="center"/>
          </w:tcPr>
          <w:p w14:paraId="454CD30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2F48F84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1D6AA1B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1ECB2AC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4,71</w:t>
            </w:r>
          </w:p>
        </w:tc>
        <w:tc>
          <w:tcPr>
            <w:tcW w:w="851" w:type="dxa"/>
            <w:shd w:val="clear" w:color="auto" w:fill="FFFFFF"/>
            <w:vAlign w:val="center"/>
          </w:tcPr>
          <w:p w14:paraId="73359FD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1,681 </w:t>
            </w:r>
          </w:p>
        </w:tc>
        <w:tc>
          <w:tcPr>
            <w:tcW w:w="850" w:type="dxa"/>
            <w:shd w:val="clear" w:color="auto" w:fill="FFFFFF"/>
            <w:vAlign w:val="center"/>
          </w:tcPr>
          <w:p w14:paraId="6B42AD4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-,170</w:t>
            </w:r>
          </w:p>
        </w:tc>
        <w:tc>
          <w:tcPr>
            <w:tcW w:w="851" w:type="dxa"/>
            <w:shd w:val="clear" w:color="auto" w:fill="FFFFFF"/>
            <w:vAlign w:val="center"/>
          </w:tcPr>
          <w:p w14:paraId="77FDC45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-1,000</w:t>
            </w:r>
          </w:p>
        </w:tc>
      </w:tr>
      <w:tr w:rsidR="007C3C4B" w:rsidRPr="002A63BA" w14:paraId="002280E9" w14:textId="77777777" w:rsidTr="007C3C4B">
        <w:trPr>
          <w:cantSplit/>
          <w:jc w:val="center"/>
        </w:trPr>
        <w:tc>
          <w:tcPr>
            <w:tcW w:w="2155" w:type="dxa"/>
            <w:vMerge w:val="restart"/>
            <w:shd w:val="clear" w:color="auto" w:fill="FFFFFF"/>
          </w:tcPr>
          <w:p w14:paraId="4675A171"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Price Value</w:t>
            </w:r>
          </w:p>
          <w:p w14:paraId="29BF3AB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UTAUT2</w:t>
            </w:r>
          </w:p>
        </w:tc>
        <w:tc>
          <w:tcPr>
            <w:tcW w:w="488" w:type="dxa"/>
            <w:shd w:val="clear" w:color="auto" w:fill="FFFFFF"/>
          </w:tcPr>
          <w:p w14:paraId="283CC0C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PV1</w:t>
            </w:r>
          </w:p>
        </w:tc>
        <w:tc>
          <w:tcPr>
            <w:tcW w:w="425" w:type="dxa"/>
            <w:shd w:val="clear" w:color="auto" w:fill="FFFFFF"/>
            <w:vAlign w:val="center"/>
          </w:tcPr>
          <w:p w14:paraId="3DBC1F2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75050AD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5D7DBFD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3C36282C"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4,88</w:t>
            </w:r>
          </w:p>
        </w:tc>
        <w:tc>
          <w:tcPr>
            <w:tcW w:w="851" w:type="dxa"/>
            <w:shd w:val="clear" w:color="auto" w:fill="FFFFFF"/>
            <w:vAlign w:val="center"/>
          </w:tcPr>
          <w:p w14:paraId="04B0043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1,534 </w:t>
            </w:r>
          </w:p>
        </w:tc>
        <w:tc>
          <w:tcPr>
            <w:tcW w:w="850" w:type="dxa"/>
            <w:shd w:val="clear" w:color="auto" w:fill="FFFFFF"/>
            <w:vAlign w:val="center"/>
          </w:tcPr>
          <w:p w14:paraId="6F9F735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-,519</w:t>
            </w:r>
          </w:p>
        </w:tc>
        <w:tc>
          <w:tcPr>
            <w:tcW w:w="851" w:type="dxa"/>
            <w:shd w:val="clear" w:color="auto" w:fill="FFFFFF"/>
            <w:vAlign w:val="center"/>
          </w:tcPr>
          <w:p w14:paraId="5318F95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-,484</w:t>
            </w:r>
          </w:p>
        </w:tc>
      </w:tr>
      <w:tr w:rsidR="007C3C4B" w:rsidRPr="002A63BA" w14:paraId="6539D049" w14:textId="77777777" w:rsidTr="007C3C4B">
        <w:trPr>
          <w:cantSplit/>
          <w:jc w:val="center"/>
        </w:trPr>
        <w:tc>
          <w:tcPr>
            <w:tcW w:w="2155" w:type="dxa"/>
            <w:vMerge/>
            <w:shd w:val="clear" w:color="auto" w:fill="FFFFFF"/>
          </w:tcPr>
          <w:p w14:paraId="46B81940"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1FAD8558"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PV2</w:t>
            </w:r>
          </w:p>
        </w:tc>
        <w:tc>
          <w:tcPr>
            <w:tcW w:w="425" w:type="dxa"/>
            <w:shd w:val="clear" w:color="auto" w:fill="FFFFFF"/>
            <w:vAlign w:val="center"/>
          </w:tcPr>
          <w:p w14:paraId="5EE141B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2A2943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321C1B0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7B45C5B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5,03</w:t>
            </w:r>
          </w:p>
        </w:tc>
        <w:tc>
          <w:tcPr>
            <w:tcW w:w="851" w:type="dxa"/>
            <w:shd w:val="clear" w:color="auto" w:fill="FFFFFF"/>
            <w:vAlign w:val="center"/>
          </w:tcPr>
          <w:p w14:paraId="3EBEFD1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1,567 </w:t>
            </w:r>
          </w:p>
        </w:tc>
        <w:tc>
          <w:tcPr>
            <w:tcW w:w="850" w:type="dxa"/>
            <w:shd w:val="clear" w:color="auto" w:fill="FFFFFF"/>
            <w:vAlign w:val="center"/>
          </w:tcPr>
          <w:p w14:paraId="3FFFF55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-,631</w:t>
            </w:r>
          </w:p>
        </w:tc>
        <w:tc>
          <w:tcPr>
            <w:tcW w:w="851" w:type="dxa"/>
            <w:shd w:val="clear" w:color="auto" w:fill="FFFFFF"/>
            <w:vAlign w:val="center"/>
          </w:tcPr>
          <w:p w14:paraId="59747F0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-,434</w:t>
            </w:r>
          </w:p>
        </w:tc>
      </w:tr>
      <w:tr w:rsidR="007C3C4B" w:rsidRPr="002A63BA" w14:paraId="3B62BFA5" w14:textId="77777777" w:rsidTr="007C3C4B">
        <w:trPr>
          <w:cantSplit/>
          <w:jc w:val="center"/>
        </w:trPr>
        <w:tc>
          <w:tcPr>
            <w:tcW w:w="2155" w:type="dxa"/>
            <w:vMerge/>
            <w:shd w:val="clear" w:color="auto" w:fill="FFFFFF"/>
          </w:tcPr>
          <w:p w14:paraId="75F868D1"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55DA1422"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PV3</w:t>
            </w:r>
          </w:p>
        </w:tc>
        <w:tc>
          <w:tcPr>
            <w:tcW w:w="425" w:type="dxa"/>
            <w:shd w:val="clear" w:color="auto" w:fill="FFFFFF"/>
            <w:vAlign w:val="center"/>
          </w:tcPr>
          <w:p w14:paraId="2A43401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70FE366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6379DFE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558FED6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5,03</w:t>
            </w:r>
          </w:p>
        </w:tc>
        <w:tc>
          <w:tcPr>
            <w:tcW w:w="851" w:type="dxa"/>
            <w:shd w:val="clear" w:color="auto" w:fill="FFFFFF"/>
            <w:vAlign w:val="center"/>
          </w:tcPr>
          <w:p w14:paraId="0D93304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1,580 </w:t>
            </w:r>
          </w:p>
        </w:tc>
        <w:tc>
          <w:tcPr>
            <w:tcW w:w="850" w:type="dxa"/>
            <w:shd w:val="clear" w:color="auto" w:fill="FFFFFF"/>
            <w:vAlign w:val="center"/>
          </w:tcPr>
          <w:p w14:paraId="62B005E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-,564</w:t>
            </w:r>
          </w:p>
        </w:tc>
        <w:tc>
          <w:tcPr>
            <w:tcW w:w="851" w:type="dxa"/>
            <w:shd w:val="clear" w:color="auto" w:fill="FFFFFF"/>
            <w:vAlign w:val="center"/>
          </w:tcPr>
          <w:p w14:paraId="15DF87A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-,563</w:t>
            </w:r>
          </w:p>
        </w:tc>
      </w:tr>
      <w:tr w:rsidR="007C3C4B" w:rsidRPr="002A63BA" w14:paraId="08FD573F" w14:textId="77777777" w:rsidTr="007C3C4B">
        <w:trPr>
          <w:cantSplit/>
          <w:jc w:val="center"/>
        </w:trPr>
        <w:tc>
          <w:tcPr>
            <w:tcW w:w="2155" w:type="dxa"/>
            <w:vMerge w:val="restart"/>
            <w:shd w:val="clear" w:color="auto" w:fill="FFFFFF"/>
          </w:tcPr>
          <w:p w14:paraId="565EF176"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Perceived Risk</w:t>
            </w:r>
          </w:p>
        </w:tc>
        <w:tc>
          <w:tcPr>
            <w:tcW w:w="488" w:type="dxa"/>
            <w:shd w:val="clear" w:color="auto" w:fill="FFFFFF"/>
          </w:tcPr>
          <w:p w14:paraId="13621183"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PR1</w:t>
            </w:r>
          </w:p>
        </w:tc>
        <w:tc>
          <w:tcPr>
            <w:tcW w:w="425" w:type="dxa"/>
            <w:shd w:val="clear" w:color="auto" w:fill="FFFFFF"/>
            <w:vAlign w:val="center"/>
          </w:tcPr>
          <w:p w14:paraId="344699A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3820F1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F8A84C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0014BDC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3,42</w:t>
            </w:r>
          </w:p>
        </w:tc>
        <w:tc>
          <w:tcPr>
            <w:tcW w:w="851" w:type="dxa"/>
            <w:shd w:val="clear" w:color="auto" w:fill="FFFFFF"/>
            <w:vAlign w:val="center"/>
          </w:tcPr>
          <w:p w14:paraId="36C256E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1,286 </w:t>
            </w:r>
          </w:p>
        </w:tc>
        <w:tc>
          <w:tcPr>
            <w:tcW w:w="850" w:type="dxa"/>
            <w:shd w:val="clear" w:color="auto" w:fill="FFFFFF"/>
            <w:vAlign w:val="center"/>
          </w:tcPr>
          <w:p w14:paraId="588C0E2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264</w:t>
            </w:r>
          </w:p>
        </w:tc>
        <w:tc>
          <w:tcPr>
            <w:tcW w:w="851" w:type="dxa"/>
            <w:shd w:val="clear" w:color="auto" w:fill="FFFFFF"/>
            <w:vAlign w:val="center"/>
          </w:tcPr>
          <w:p w14:paraId="10077417"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-,269</w:t>
            </w:r>
          </w:p>
        </w:tc>
      </w:tr>
      <w:tr w:rsidR="007C3C4B" w:rsidRPr="002A63BA" w14:paraId="6A416830" w14:textId="77777777" w:rsidTr="007C3C4B">
        <w:trPr>
          <w:cantSplit/>
          <w:jc w:val="center"/>
        </w:trPr>
        <w:tc>
          <w:tcPr>
            <w:tcW w:w="2155" w:type="dxa"/>
            <w:vMerge/>
            <w:shd w:val="clear" w:color="auto" w:fill="FFFFFF"/>
          </w:tcPr>
          <w:p w14:paraId="7A08CAE6"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3E5CD08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PR2</w:t>
            </w:r>
          </w:p>
        </w:tc>
        <w:tc>
          <w:tcPr>
            <w:tcW w:w="425" w:type="dxa"/>
            <w:shd w:val="clear" w:color="auto" w:fill="FFFFFF"/>
            <w:vAlign w:val="center"/>
          </w:tcPr>
          <w:p w14:paraId="09B9290F"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F68DFA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1558837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7FB7A9B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3,51</w:t>
            </w:r>
          </w:p>
        </w:tc>
        <w:tc>
          <w:tcPr>
            <w:tcW w:w="851" w:type="dxa"/>
            <w:shd w:val="clear" w:color="auto" w:fill="FFFFFF"/>
            <w:vAlign w:val="center"/>
          </w:tcPr>
          <w:p w14:paraId="43F5E01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1,218 </w:t>
            </w:r>
          </w:p>
        </w:tc>
        <w:tc>
          <w:tcPr>
            <w:tcW w:w="850" w:type="dxa"/>
            <w:shd w:val="clear" w:color="auto" w:fill="FFFFFF"/>
            <w:vAlign w:val="center"/>
          </w:tcPr>
          <w:p w14:paraId="4AA3994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-,130</w:t>
            </w:r>
          </w:p>
        </w:tc>
        <w:tc>
          <w:tcPr>
            <w:tcW w:w="851" w:type="dxa"/>
            <w:shd w:val="clear" w:color="auto" w:fill="FFFFFF"/>
            <w:vAlign w:val="center"/>
          </w:tcPr>
          <w:p w14:paraId="013BB2A7"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,148</w:t>
            </w:r>
          </w:p>
        </w:tc>
      </w:tr>
      <w:tr w:rsidR="007C3C4B" w:rsidRPr="002A63BA" w14:paraId="583BC0B4" w14:textId="77777777" w:rsidTr="007C3C4B">
        <w:trPr>
          <w:cantSplit/>
          <w:jc w:val="center"/>
        </w:trPr>
        <w:tc>
          <w:tcPr>
            <w:tcW w:w="2155" w:type="dxa"/>
            <w:vMerge/>
            <w:shd w:val="clear" w:color="auto" w:fill="FFFFFF"/>
          </w:tcPr>
          <w:p w14:paraId="6A46EA21"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3D90E07C"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PR3</w:t>
            </w:r>
          </w:p>
        </w:tc>
        <w:tc>
          <w:tcPr>
            <w:tcW w:w="425" w:type="dxa"/>
            <w:shd w:val="clear" w:color="auto" w:fill="FFFFFF"/>
            <w:vAlign w:val="center"/>
          </w:tcPr>
          <w:p w14:paraId="7A00CF7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C24AB1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5C4E36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1D53DF6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3,33</w:t>
            </w:r>
          </w:p>
        </w:tc>
        <w:tc>
          <w:tcPr>
            <w:tcW w:w="851" w:type="dxa"/>
            <w:shd w:val="clear" w:color="auto" w:fill="FFFFFF"/>
            <w:vAlign w:val="center"/>
          </w:tcPr>
          <w:p w14:paraId="35AE19E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1,423 </w:t>
            </w:r>
          </w:p>
        </w:tc>
        <w:tc>
          <w:tcPr>
            <w:tcW w:w="850" w:type="dxa"/>
            <w:shd w:val="clear" w:color="auto" w:fill="FFFFFF"/>
            <w:vAlign w:val="center"/>
          </w:tcPr>
          <w:p w14:paraId="7324A88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057</w:t>
            </w:r>
          </w:p>
        </w:tc>
        <w:tc>
          <w:tcPr>
            <w:tcW w:w="851" w:type="dxa"/>
            <w:shd w:val="clear" w:color="auto" w:fill="FFFFFF"/>
            <w:vAlign w:val="center"/>
          </w:tcPr>
          <w:p w14:paraId="6063302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-,414</w:t>
            </w:r>
          </w:p>
        </w:tc>
      </w:tr>
      <w:tr w:rsidR="007C3C4B" w:rsidRPr="002A63BA" w14:paraId="202E86AB" w14:textId="77777777" w:rsidTr="007C3C4B">
        <w:trPr>
          <w:cantSplit/>
          <w:jc w:val="center"/>
        </w:trPr>
        <w:tc>
          <w:tcPr>
            <w:tcW w:w="2155" w:type="dxa"/>
            <w:vMerge w:val="restart"/>
            <w:shd w:val="clear" w:color="auto" w:fill="FFFFFF"/>
          </w:tcPr>
          <w:p w14:paraId="075CA67D"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Environmental awareness</w:t>
            </w:r>
          </w:p>
        </w:tc>
        <w:tc>
          <w:tcPr>
            <w:tcW w:w="488" w:type="dxa"/>
            <w:shd w:val="clear" w:color="auto" w:fill="FFFFFF"/>
          </w:tcPr>
          <w:p w14:paraId="086BCED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EA1</w:t>
            </w:r>
          </w:p>
        </w:tc>
        <w:tc>
          <w:tcPr>
            <w:tcW w:w="425" w:type="dxa"/>
            <w:shd w:val="clear" w:color="auto" w:fill="FFFFFF"/>
            <w:vAlign w:val="center"/>
          </w:tcPr>
          <w:p w14:paraId="2AEC031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3B3FB7D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167D74B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6</w:t>
            </w:r>
          </w:p>
        </w:tc>
        <w:tc>
          <w:tcPr>
            <w:tcW w:w="709" w:type="dxa"/>
            <w:shd w:val="clear" w:color="auto" w:fill="FFFFFF"/>
            <w:vAlign w:val="center"/>
          </w:tcPr>
          <w:p w14:paraId="65F2C19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4,97</w:t>
            </w:r>
          </w:p>
        </w:tc>
        <w:tc>
          <w:tcPr>
            <w:tcW w:w="851" w:type="dxa"/>
            <w:shd w:val="clear" w:color="auto" w:fill="FFFFFF"/>
            <w:vAlign w:val="center"/>
          </w:tcPr>
          <w:p w14:paraId="2CF940B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931</w:t>
            </w:r>
          </w:p>
        </w:tc>
        <w:tc>
          <w:tcPr>
            <w:tcW w:w="850" w:type="dxa"/>
            <w:shd w:val="clear" w:color="auto" w:fill="FFFFFF"/>
            <w:vAlign w:val="center"/>
          </w:tcPr>
          <w:p w14:paraId="71340F7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-1,015 </w:t>
            </w:r>
          </w:p>
        </w:tc>
        <w:tc>
          <w:tcPr>
            <w:tcW w:w="851" w:type="dxa"/>
            <w:shd w:val="clear" w:color="auto" w:fill="FFFFFF"/>
            <w:vAlign w:val="center"/>
          </w:tcPr>
          <w:p w14:paraId="7542D692"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1,499 </w:t>
            </w:r>
          </w:p>
        </w:tc>
      </w:tr>
      <w:tr w:rsidR="007C3C4B" w:rsidRPr="002A63BA" w14:paraId="0812A19F" w14:textId="77777777" w:rsidTr="007C3C4B">
        <w:trPr>
          <w:cantSplit/>
          <w:jc w:val="center"/>
        </w:trPr>
        <w:tc>
          <w:tcPr>
            <w:tcW w:w="2155" w:type="dxa"/>
            <w:vMerge/>
            <w:shd w:val="clear" w:color="auto" w:fill="FFFFFF"/>
          </w:tcPr>
          <w:p w14:paraId="33F109B1"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410D8E49"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EA2</w:t>
            </w:r>
          </w:p>
        </w:tc>
        <w:tc>
          <w:tcPr>
            <w:tcW w:w="425" w:type="dxa"/>
            <w:shd w:val="clear" w:color="auto" w:fill="FFFFFF"/>
            <w:vAlign w:val="center"/>
          </w:tcPr>
          <w:p w14:paraId="40186F32"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46EA17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2336077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6</w:t>
            </w:r>
          </w:p>
        </w:tc>
        <w:tc>
          <w:tcPr>
            <w:tcW w:w="709" w:type="dxa"/>
            <w:shd w:val="clear" w:color="auto" w:fill="FFFFFF"/>
            <w:vAlign w:val="center"/>
          </w:tcPr>
          <w:p w14:paraId="6AC9058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4,99</w:t>
            </w:r>
          </w:p>
        </w:tc>
        <w:tc>
          <w:tcPr>
            <w:tcW w:w="851" w:type="dxa"/>
            <w:shd w:val="clear" w:color="auto" w:fill="FFFFFF"/>
            <w:vAlign w:val="center"/>
          </w:tcPr>
          <w:p w14:paraId="3CE690D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893</w:t>
            </w:r>
          </w:p>
        </w:tc>
        <w:tc>
          <w:tcPr>
            <w:tcW w:w="850" w:type="dxa"/>
            <w:shd w:val="clear" w:color="auto" w:fill="FFFFFF"/>
            <w:vAlign w:val="center"/>
          </w:tcPr>
          <w:p w14:paraId="745079B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-,886</w:t>
            </w:r>
          </w:p>
        </w:tc>
        <w:tc>
          <w:tcPr>
            <w:tcW w:w="851" w:type="dxa"/>
            <w:shd w:val="clear" w:color="auto" w:fill="FFFFFF"/>
            <w:vAlign w:val="center"/>
          </w:tcPr>
          <w:p w14:paraId="4E5AAFAF"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1,544 </w:t>
            </w:r>
          </w:p>
        </w:tc>
      </w:tr>
      <w:tr w:rsidR="007C3C4B" w:rsidRPr="002A63BA" w14:paraId="1CDE182C" w14:textId="77777777" w:rsidTr="007C3C4B">
        <w:trPr>
          <w:cantSplit/>
          <w:jc w:val="center"/>
        </w:trPr>
        <w:tc>
          <w:tcPr>
            <w:tcW w:w="2155" w:type="dxa"/>
            <w:vMerge w:val="restart"/>
            <w:shd w:val="clear" w:color="auto" w:fill="FFFFFF"/>
          </w:tcPr>
          <w:p w14:paraId="4DCF0A7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Physical activity</w:t>
            </w:r>
          </w:p>
        </w:tc>
        <w:tc>
          <w:tcPr>
            <w:tcW w:w="488" w:type="dxa"/>
            <w:shd w:val="clear" w:color="auto" w:fill="FFFFFF"/>
          </w:tcPr>
          <w:p w14:paraId="1AD0FF1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PA1</w:t>
            </w:r>
          </w:p>
        </w:tc>
        <w:tc>
          <w:tcPr>
            <w:tcW w:w="425" w:type="dxa"/>
            <w:shd w:val="clear" w:color="auto" w:fill="FFFFFF"/>
            <w:vAlign w:val="center"/>
          </w:tcPr>
          <w:p w14:paraId="5ED73EB1"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028CF9A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551231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44BD5EB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5,08</w:t>
            </w:r>
          </w:p>
        </w:tc>
        <w:tc>
          <w:tcPr>
            <w:tcW w:w="851" w:type="dxa"/>
            <w:shd w:val="clear" w:color="auto" w:fill="FFFFFF"/>
            <w:vAlign w:val="center"/>
          </w:tcPr>
          <w:p w14:paraId="2FE7660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1,389 </w:t>
            </w:r>
          </w:p>
        </w:tc>
        <w:tc>
          <w:tcPr>
            <w:tcW w:w="850" w:type="dxa"/>
            <w:shd w:val="clear" w:color="auto" w:fill="FFFFFF"/>
            <w:vAlign w:val="center"/>
          </w:tcPr>
          <w:p w14:paraId="5B41E25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-,396</w:t>
            </w:r>
          </w:p>
        </w:tc>
        <w:tc>
          <w:tcPr>
            <w:tcW w:w="851" w:type="dxa"/>
            <w:shd w:val="clear" w:color="auto" w:fill="FFFFFF"/>
            <w:vAlign w:val="center"/>
          </w:tcPr>
          <w:p w14:paraId="09946472"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-,504</w:t>
            </w:r>
          </w:p>
        </w:tc>
      </w:tr>
      <w:tr w:rsidR="007C3C4B" w:rsidRPr="002A63BA" w14:paraId="06E6A8F8" w14:textId="77777777" w:rsidTr="007C3C4B">
        <w:trPr>
          <w:cantSplit/>
          <w:jc w:val="center"/>
        </w:trPr>
        <w:tc>
          <w:tcPr>
            <w:tcW w:w="2155" w:type="dxa"/>
            <w:vMerge/>
            <w:shd w:val="clear" w:color="auto" w:fill="FFFFFF"/>
          </w:tcPr>
          <w:p w14:paraId="0F5210A7"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5A5580C7"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PA2</w:t>
            </w:r>
          </w:p>
        </w:tc>
        <w:tc>
          <w:tcPr>
            <w:tcW w:w="425" w:type="dxa"/>
            <w:shd w:val="clear" w:color="auto" w:fill="FFFFFF"/>
            <w:vAlign w:val="center"/>
          </w:tcPr>
          <w:p w14:paraId="1D3A2F4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5C34A09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6A01ACFA"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5D55D0C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4,76</w:t>
            </w:r>
          </w:p>
        </w:tc>
        <w:tc>
          <w:tcPr>
            <w:tcW w:w="851" w:type="dxa"/>
            <w:shd w:val="clear" w:color="auto" w:fill="FFFFFF"/>
            <w:vAlign w:val="center"/>
          </w:tcPr>
          <w:p w14:paraId="403759F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1,529 </w:t>
            </w:r>
          </w:p>
        </w:tc>
        <w:tc>
          <w:tcPr>
            <w:tcW w:w="850" w:type="dxa"/>
            <w:shd w:val="clear" w:color="auto" w:fill="FFFFFF"/>
            <w:vAlign w:val="center"/>
          </w:tcPr>
          <w:p w14:paraId="2682C28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-,248</w:t>
            </w:r>
          </w:p>
        </w:tc>
        <w:tc>
          <w:tcPr>
            <w:tcW w:w="851" w:type="dxa"/>
            <w:shd w:val="clear" w:color="auto" w:fill="FFFFFF"/>
            <w:vAlign w:val="center"/>
          </w:tcPr>
          <w:p w14:paraId="016E7E0F"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-,759</w:t>
            </w:r>
          </w:p>
        </w:tc>
      </w:tr>
      <w:tr w:rsidR="007C3C4B" w:rsidRPr="002A63BA" w14:paraId="0664464B" w14:textId="77777777" w:rsidTr="007C3C4B">
        <w:trPr>
          <w:cantSplit/>
          <w:jc w:val="center"/>
        </w:trPr>
        <w:tc>
          <w:tcPr>
            <w:tcW w:w="2155" w:type="dxa"/>
            <w:vMerge/>
            <w:shd w:val="clear" w:color="auto" w:fill="FFFFFF"/>
          </w:tcPr>
          <w:p w14:paraId="59ECE951"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70BFA8BE"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PA3</w:t>
            </w:r>
          </w:p>
        </w:tc>
        <w:tc>
          <w:tcPr>
            <w:tcW w:w="425" w:type="dxa"/>
            <w:shd w:val="clear" w:color="auto" w:fill="FFFFFF"/>
            <w:vAlign w:val="center"/>
          </w:tcPr>
          <w:p w14:paraId="03B9812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7E9C800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54E82B4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69D0957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4,70</w:t>
            </w:r>
          </w:p>
        </w:tc>
        <w:tc>
          <w:tcPr>
            <w:tcW w:w="851" w:type="dxa"/>
            <w:shd w:val="clear" w:color="auto" w:fill="FFFFFF"/>
            <w:vAlign w:val="center"/>
          </w:tcPr>
          <w:p w14:paraId="0202ADD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1,602 </w:t>
            </w:r>
          </w:p>
        </w:tc>
        <w:tc>
          <w:tcPr>
            <w:tcW w:w="850" w:type="dxa"/>
            <w:shd w:val="clear" w:color="auto" w:fill="FFFFFF"/>
            <w:vAlign w:val="center"/>
          </w:tcPr>
          <w:p w14:paraId="3BD36F5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-,235</w:t>
            </w:r>
          </w:p>
        </w:tc>
        <w:tc>
          <w:tcPr>
            <w:tcW w:w="851" w:type="dxa"/>
            <w:shd w:val="clear" w:color="auto" w:fill="FFFFFF"/>
            <w:vAlign w:val="center"/>
          </w:tcPr>
          <w:p w14:paraId="39622CFA"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-,777</w:t>
            </w:r>
          </w:p>
        </w:tc>
      </w:tr>
      <w:tr w:rsidR="007C3C4B" w:rsidRPr="002A63BA" w14:paraId="6A1CF302" w14:textId="77777777" w:rsidTr="007C3C4B">
        <w:trPr>
          <w:cantSplit/>
          <w:jc w:val="center"/>
        </w:trPr>
        <w:tc>
          <w:tcPr>
            <w:tcW w:w="2155" w:type="dxa"/>
            <w:vMerge w:val="restart"/>
            <w:shd w:val="clear" w:color="auto" w:fill="FFFFFF"/>
          </w:tcPr>
          <w:p w14:paraId="4FE96C0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lastRenderedPageBreak/>
              <w:t>Behavioral Intention</w:t>
            </w:r>
          </w:p>
          <w:p w14:paraId="48E359DC"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UTAUT</w:t>
            </w:r>
          </w:p>
        </w:tc>
        <w:tc>
          <w:tcPr>
            <w:tcW w:w="488" w:type="dxa"/>
            <w:shd w:val="clear" w:color="auto" w:fill="FFFFFF"/>
          </w:tcPr>
          <w:p w14:paraId="54FB21A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BI1</w:t>
            </w:r>
          </w:p>
        </w:tc>
        <w:tc>
          <w:tcPr>
            <w:tcW w:w="425" w:type="dxa"/>
            <w:shd w:val="clear" w:color="auto" w:fill="FFFFFF"/>
            <w:vAlign w:val="center"/>
          </w:tcPr>
          <w:p w14:paraId="4147614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6A6CD26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6BD1079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4D1E33C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4,02</w:t>
            </w:r>
          </w:p>
        </w:tc>
        <w:tc>
          <w:tcPr>
            <w:tcW w:w="851" w:type="dxa"/>
            <w:shd w:val="clear" w:color="auto" w:fill="FFFFFF"/>
            <w:vAlign w:val="center"/>
          </w:tcPr>
          <w:p w14:paraId="1AB645F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1,940 </w:t>
            </w:r>
          </w:p>
        </w:tc>
        <w:tc>
          <w:tcPr>
            <w:tcW w:w="850" w:type="dxa"/>
            <w:shd w:val="clear" w:color="auto" w:fill="FFFFFF"/>
            <w:vAlign w:val="center"/>
          </w:tcPr>
          <w:p w14:paraId="5DA716A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-,085</w:t>
            </w:r>
          </w:p>
        </w:tc>
        <w:tc>
          <w:tcPr>
            <w:tcW w:w="851" w:type="dxa"/>
            <w:shd w:val="clear" w:color="auto" w:fill="FFFFFF"/>
            <w:vAlign w:val="center"/>
          </w:tcPr>
          <w:p w14:paraId="6E1D038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-1,341 </w:t>
            </w:r>
          </w:p>
        </w:tc>
      </w:tr>
      <w:tr w:rsidR="007C3C4B" w:rsidRPr="002A63BA" w14:paraId="16416E4B" w14:textId="77777777" w:rsidTr="007C3C4B">
        <w:trPr>
          <w:cantSplit/>
          <w:jc w:val="center"/>
        </w:trPr>
        <w:tc>
          <w:tcPr>
            <w:tcW w:w="2155" w:type="dxa"/>
            <w:vMerge/>
            <w:shd w:val="clear" w:color="auto" w:fill="FFFFFF"/>
          </w:tcPr>
          <w:p w14:paraId="73A390EE"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64FBE84E"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BI2</w:t>
            </w:r>
          </w:p>
        </w:tc>
        <w:tc>
          <w:tcPr>
            <w:tcW w:w="425" w:type="dxa"/>
            <w:shd w:val="clear" w:color="auto" w:fill="FFFFFF"/>
            <w:vAlign w:val="center"/>
          </w:tcPr>
          <w:p w14:paraId="2F0BDD4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753446E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190030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3CD0DC9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3,37</w:t>
            </w:r>
          </w:p>
        </w:tc>
        <w:tc>
          <w:tcPr>
            <w:tcW w:w="851" w:type="dxa"/>
            <w:shd w:val="clear" w:color="auto" w:fill="FFFFFF"/>
            <w:vAlign w:val="center"/>
          </w:tcPr>
          <w:p w14:paraId="33AA62F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2,065 </w:t>
            </w:r>
          </w:p>
        </w:tc>
        <w:tc>
          <w:tcPr>
            <w:tcW w:w="850" w:type="dxa"/>
            <w:shd w:val="clear" w:color="auto" w:fill="FFFFFF"/>
            <w:vAlign w:val="center"/>
          </w:tcPr>
          <w:p w14:paraId="2AA48C95"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359</w:t>
            </w:r>
          </w:p>
        </w:tc>
        <w:tc>
          <w:tcPr>
            <w:tcW w:w="851" w:type="dxa"/>
            <w:shd w:val="clear" w:color="auto" w:fill="FFFFFF"/>
            <w:vAlign w:val="center"/>
          </w:tcPr>
          <w:p w14:paraId="05B1EF9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-1,256 </w:t>
            </w:r>
          </w:p>
        </w:tc>
      </w:tr>
      <w:tr w:rsidR="007C3C4B" w:rsidRPr="002A63BA" w14:paraId="761C5C97" w14:textId="77777777" w:rsidTr="007C3C4B">
        <w:trPr>
          <w:cantSplit/>
          <w:jc w:val="center"/>
        </w:trPr>
        <w:tc>
          <w:tcPr>
            <w:tcW w:w="2155" w:type="dxa"/>
            <w:vMerge/>
            <w:shd w:val="clear" w:color="auto" w:fill="FFFFFF"/>
          </w:tcPr>
          <w:p w14:paraId="6730DF14"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58EAE612"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BI3</w:t>
            </w:r>
          </w:p>
        </w:tc>
        <w:tc>
          <w:tcPr>
            <w:tcW w:w="425" w:type="dxa"/>
            <w:shd w:val="clear" w:color="auto" w:fill="FFFFFF"/>
            <w:vAlign w:val="center"/>
          </w:tcPr>
          <w:p w14:paraId="4689184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475508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739F4B1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4110C1D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4,48</w:t>
            </w:r>
          </w:p>
        </w:tc>
        <w:tc>
          <w:tcPr>
            <w:tcW w:w="851" w:type="dxa"/>
            <w:shd w:val="clear" w:color="auto" w:fill="FFFFFF"/>
            <w:vAlign w:val="center"/>
          </w:tcPr>
          <w:p w14:paraId="3AE8508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1,946 </w:t>
            </w:r>
          </w:p>
        </w:tc>
        <w:tc>
          <w:tcPr>
            <w:tcW w:w="850" w:type="dxa"/>
            <w:shd w:val="clear" w:color="auto" w:fill="FFFFFF"/>
            <w:vAlign w:val="center"/>
          </w:tcPr>
          <w:p w14:paraId="7D674B6C"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-,292</w:t>
            </w:r>
          </w:p>
        </w:tc>
        <w:tc>
          <w:tcPr>
            <w:tcW w:w="851" w:type="dxa"/>
            <w:shd w:val="clear" w:color="auto" w:fill="FFFFFF"/>
            <w:vAlign w:val="center"/>
          </w:tcPr>
          <w:p w14:paraId="7EC5676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-1,196 </w:t>
            </w:r>
          </w:p>
        </w:tc>
      </w:tr>
      <w:tr w:rsidR="007C3C4B" w:rsidRPr="002A63BA" w14:paraId="563FC8FE" w14:textId="77777777" w:rsidTr="007C3C4B">
        <w:trPr>
          <w:cantSplit/>
          <w:jc w:val="center"/>
        </w:trPr>
        <w:tc>
          <w:tcPr>
            <w:tcW w:w="2155" w:type="dxa"/>
            <w:vMerge/>
            <w:shd w:val="clear" w:color="auto" w:fill="FFFFFF"/>
          </w:tcPr>
          <w:p w14:paraId="3918F109" w14:textId="77777777" w:rsidR="007C3C4B" w:rsidRPr="002A63BA" w:rsidRDefault="007C3C4B" w:rsidP="00FF3EE4">
            <w:pPr>
              <w:adjustRightInd w:val="0"/>
              <w:spacing w:line="276" w:lineRule="auto"/>
              <w:rPr>
                <w:rFonts w:ascii="Open Sans" w:hAnsi="Open Sans" w:cs="Open Sans"/>
              </w:rPr>
            </w:pPr>
          </w:p>
        </w:tc>
        <w:tc>
          <w:tcPr>
            <w:tcW w:w="488" w:type="dxa"/>
            <w:shd w:val="clear" w:color="auto" w:fill="FFFFFF"/>
          </w:tcPr>
          <w:p w14:paraId="0CE3BA91"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BI4</w:t>
            </w:r>
          </w:p>
        </w:tc>
        <w:tc>
          <w:tcPr>
            <w:tcW w:w="425" w:type="dxa"/>
            <w:shd w:val="clear" w:color="auto" w:fill="FFFFFF"/>
            <w:vAlign w:val="center"/>
          </w:tcPr>
          <w:p w14:paraId="17790D6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1A0472F4"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37BAAD2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7</w:t>
            </w:r>
          </w:p>
        </w:tc>
        <w:tc>
          <w:tcPr>
            <w:tcW w:w="709" w:type="dxa"/>
            <w:shd w:val="clear" w:color="auto" w:fill="FFFFFF"/>
            <w:vAlign w:val="center"/>
          </w:tcPr>
          <w:p w14:paraId="0F91284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4,52</w:t>
            </w:r>
          </w:p>
        </w:tc>
        <w:tc>
          <w:tcPr>
            <w:tcW w:w="851" w:type="dxa"/>
            <w:shd w:val="clear" w:color="auto" w:fill="FFFFFF"/>
            <w:vAlign w:val="center"/>
          </w:tcPr>
          <w:p w14:paraId="4EC207D9"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1,903 </w:t>
            </w:r>
          </w:p>
        </w:tc>
        <w:tc>
          <w:tcPr>
            <w:tcW w:w="850" w:type="dxa"/>
            <w:shd w:val="clear" w:color="auto" w:fill="FFFFFF"/>
            <w:vAlign w:val="center"/>
          </w:tcPr>
          <w:p w14:paraId="04B3FF8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-,307</w:t>
            </w:r>
          </w:p>
        </w:tc>
        <w:tc>
          <w:tcPr>
            <w:tcW w:w="851" w:type="dxa"/>
            <w:shd w:val="clear" w:color="auto" w:fill="FFFFFF"/>
            <w:vAlign w:val="center"/>
          </w:tcPr>
          <w:p w14:paraId="085F9766"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-1,145 </w:t>
            </w:r>
          </w:p>
        </w:tc>
      </w:tr>
      <w:tr w:rsidR="007C3C4B" w:rsidRPr="002A63BA" w14:paraId="1AA59969" w14:textId="77777777" w:rsidTr="007C3C4B">
        <w:trPr>
          <w:cantSplit/>
          <w:jc w:val="center"/>
        </w:trPr>
        <w:tc>
          <w:tcPr>
            <w:tcW w:w="2155" w:type="dxa"/>
            <w:shd w:val="clear" w:color="auto" w:fill="FFFFFF"/>
          </w:tcPr>
          <w:p w14:paraId="680EA72A"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Use behavior (UTAUT)</w:t>
            </w:r>
          </w:p>
        </w:tc>
        <w:tc>
          <w:tcPr>
            <w:tcW w:w="488" w:type="dxa"/>
            <w:shd w:val="clear" w:color="auto" w:fill="FFFFFF"/>
          </w:tcPr>
          <w:p w14:paraId="152FEFD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USE</w:t>
            </w:r>
          </w:p>
        </w:tc>
        <w:tc>
          <w:tcPr>
            <w:tcW w:w="425" w:type="dxa"/>
            <w:shd w:val="clear" w:color="auto" w:fill="FFFFFF"/>
            <w:vAlign w:val="center"/>
          </w:tcPr>
          <w:p w14:paraId="6B11E9EB"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2947C725"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1</w:t>
            </w:r>
          </w:p>
        </w:tc>
        <w:tc>
          <w:tcPr>
            <w:tcW w:w="567" w:type="dxa"/>
            <w:shd w:val="clear" w:color="auto" w:fill="FFFFFF"/>
            <w:vAlign w:val="center"/>
          </w:tcPr>
          <w:p w14:paraId="41AFAA2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5</w:t>
            </w:r>
          </w:p>
        </w:tc>
        <w:tc>
          <w:tcPr>
            <w:tcW w:w="709" w:type="dxa"/>
            <w:shd w:val="clear" w:color="auto" w:fill="FFFFFF"/>
            <w:vAlign w:val="center"/>
          </w:tcPr>
          <w:p w14:paraId="0B1ED670"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2,01</w:t>
            </w:r>
          </w:p>
        </w:tc>
        <w:tc>
          <w:tcPr>
            <w:tcW w:w="851" w:type="dxa"/>
            <w:shd w:val="clear" w:color="auto" w:fill="FFFFFF"/>
            <w:vAlign w:val="center"/>
          </w:tcPr>
          <w:p w14:paraId="3915325F"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 xml:space="preserve">1,222 </w:t>
            </w:r>
          </w:p>
        </w:tc>
        <w:tc>
          <w:tcPr>
            <w:tcW w:w="850" w:type="dxa"/>
            <w:shd w:val="clear" w:color="auto" w:fill="FFFFFF"/>
            <w:vAlign w:val="center"/>
          </w:tcPr>
          <w:p w14:paraId="7D3A3C6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,872</w:t>
            </w:r>
          </w:p>
        </w:tc>
        <w:tc>
          <w:tcPr>
            <w:tcW w:w="851" w:type="dxa"/>
            <w:shd w:val="clear" w:color="auto" w:fill="FFFFFF"/>
            <w:vAlign w:val="center"/>
          </w:tcPr>
          <w:p w14:paraId="3E2B353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-,512</w:t>
            </w:r>
          </w:p>
        </w:tc>
      </w:tr>
      <w:tr w:rsidR="007C3C4B" w:rsidRPr="002A63BA" w14:paraId="3A7E4EE9" w14:textId="77777777" w:rsidTr="007C3C4B">
        <w:trPr>
          <w:cantSplit/>
          <w:jc w:val="center"/>
        </w:trPr>
        <w:tc>
          <w:tcPr>
            <w:tcW w:w="2643" w:type="dxa"/>
            <w:gridSpan w:val="2"/>
            <w:shd w:val="clear" w:color="auto" w:fill="FFFFFF"/>
          </w:tcPr>
          <w:p w14:paraId="5DFB127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Valid N (listwise)</w:t>
            </w:r>
          </w:p>
        </w:tc>
        <w:tc>
          <w:tcPr>
            <w:tcW w:w="425" w:type="dxa"/>
            <w:shd w:val="clear" w:color="auto" w:fill="FFFFFF"/>
            <w:vAlign w:val="center"/>
          </w:tcPr>
          <w:p w14:paraId="0400E183"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204</w:t>
            </w:r>
          </w:p>
        </w:tc>
        <w:tc>
          <w:tcPr>
            <w:tcW w:w="425" w:type="dxa"/>
            <w:shd w:val="clear" w:color="auto" w:fill="FFFFFF"/>
            <w:vAlign w:val="center"/>
          </w:tcPr>
          <w:p w14:paraId="30D8167D" w14:textId="77777777" w:rsidR="007C3C4B" w:rsidRPr="002A63BA" w:rsidRDefault="007C3C4B" w:rsidP="00FF3EE4">
            <w:pPr>
              <w:adjustRightInd w:val="0"/>
              <w:spacing w:line="276" w:lineRule="auto"/>
              <w:rPr>
                <w:rFonts w:ascii="Open Sans" w:hAnsi="Open Sans" w:cs="Open Sans"/>
              </w:rPr>
            </w:pPr>
          </w:p>
        </w:tc>
        <w:tc>
          <w:tcPr>
            <w:tcW w:w="567" w:type="dxa"/>
            <w:shd w:val="clear" w:color="auto" w:fill="FFFFFF"/>
            <w:vAlign w:val="center"/>
          </w:tcPr>
          <w:p w14:paraId="6CE38037" w14:textId="77777777" w:rsidR="007C3C4B" w:rsidRPr="002A63BA" w:rsidRDefault="007C3C4B" w:rsidP="00FF3EE4">
            <w:pPr>
              <w:adjustRightInd w:val="0"/>
              <w:spacing w:line="276" w:lineRule="auto"/>
              <w:rPr>
                <w:rFonts w:ascii="Open Sans" w:hAnsi="Open Sans" w:cs="Open Sans"/>
              </w:rPr>
            </w:pPr>
          </w:p>
        </w:tc>
        <w:tc>
          <w:tcPr>
            <w:tcW w:w="709" w:type="dxa"/>
            <w:shd w:val="clear" w:color="auto" w:fill="FFFFFF"/>
            <w:vAlign w:val="center"/>
          </w:tcPr>
          <w:p w14:paraId="6EBAB0C5" w14:textId="77777777" w:rsidR="007C3C4B" w:rsidRPr="002A63BA" w:rsidRDefault="007C3C4B" w:rsidP="00FF3EE4">
            <w:pPr>
              <w:adjustRightInd w:val="0"/>
              <w:spacing w:line="276" w:lineRule="auto"/>
              <w:rPr>
                <w:rFonts w:ascii="Open Sans" w:hAnsi="Open Sans" w:cs="Open Sans"/>
              </w:rPr>
            </w:pPr>
          </w:p>
        </w:tc>
        <w:tc>
          <w:tcPr>
            <w:tcW w:w="851" w:type="dxa"/>
            <w:shd w:val="clear" w:color="auto" w:fill="FFFFFF"/>
            <w:vAlign w:val="center"/>
          </w:tcPr>
          <w:p w14:paraId="0B1C59E6" w14:textId="77777777" w:rsidR="007C3C4B" w:rsidRPr="002A63BA" w:rsidRDefault="007C3C4B" w:rsidP="00FF3EE4">
            <w:pPr>
              <w:adjustRightInd w:val="0"/>
              <w:spacing w:line="276" w:lineRule="auto"/>
              <w:rPr>
                <w:rFonts w:ascii="Open Sans" w:hAnsi="Open Sans" w:cs="Open Sans"/>
              </w:rPr>
            </w:pPr>
          </w:p>
        </w:tc>
        <w:tc>
          <w:tcPr>
            <w:tcW w:w="850" w:type="dxa"/>
            <w:shd w:val="clear" w:color="auto" w:fill="FFFFFF"/>
            <w:vAlign w:val="center"/>
          </w:tcPr>
          <w:p w14:paraId="59B1886C" w14:textId="77777777" w:rsidR="007C3C4B" w:rsidRPr="002A63BA" w:rsidRDefault="007C3C4B" w:rsidP="00FF3EE4">
            <w:pPr>
              <w:adjustRightInd w:val="0"/>
              <w:spacing w:line="276" w:lineRule="auto"/>
              <w:rPr>
                <w:rFonts w:ascii="Open Sans" w:hAnsi="Open Sans" w:cs="Open Sans"/>
              </w:rPr>
            </w:pPr>
          </w:p>
        </w:tc>
        <w:tc>
          <w:tcPr>
            <w:tcW w:w="851" w:type="dxa"/>
            <w:shd w:val="clear" w:color="auto" w:fill="FFFFFF"/>
            <w:vAlign w:val="center"/>
          </w:tcPr>
          <w:p w14:paraId="0ACB7619" w14:textId="77777777" w:rsidR="007C3C4B" w:rsidRPr="002A63BA" w:rsidRDefault="007C3C4B" w:rsidP="00FF3EE4">
            <w:pPr>
              <w:adjustRightInd w:val="0"/>
              <w:spacing w:line="276" w:lineRule="auto"/>
              <w:rPr>
                <w:rFonts w:ascii="Open Sans" w:hAnsi="Open Sans" w:cs="Open Sans"/>
              </w:rPr>
            </w:pPr>
          </w:p>
        </w:tc>
      </w:tr>
    </w:tbl>
    <w:p w14:paraId="1AA61278" w14:textId="77777777" w:rsidR="007C3C4B" w:rsidRPr="002A63BA" w:rsidRDefault="007C3C4B" w:rsidP="00FF3EE4">
      <w:pPr>
        <w:adjustRightInd w:val="0"/>
        <w:spacing w:line="276" w:lineRule="auto"/>
        <w:rPr>
          <w:rFonts w:ascii="Open Sans" w:hAnsi="Open Sans" w:cs="Open Sans"/>
        </w:rPr>
      </w:pPr>
    </w:p>
    <w:p w14:paraId="7AE2A1EE" w14:textId="3913578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Principal component analysis was performed with the 30 variables. Since the number of respondents was N = 204, the ratio of the number of respondents and variables met the criterion of 5:1 (Hair et al., 2010). The KMO test (0.917) confirms the adequacy of the sample, the tested model fits the data, and Bartlett's test for sphericity is statistically significant. The factor structure was set at 8 components, and only items of those scales were analyzed whose influence on behavioral intention, and use behavior is assumed in the hypothesized model. Factor analysis was performed without behavioral intention (items are not adequately projected on the corresponding factor) and without behavior (only one was item analysed). Results are shown in Table 2.</w:t>
      </w:r>
    </w:p>
    <w:p w14:paraId="636B1A79"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Table 2. Total variance explained for the factor structure</w:t>
      </w:r>
    </w:p>
    <w:tbl>
      <w:tblPr>
        <w:tblW w:w="5000" w:type="pct"/>
        <w:tblCellMar>
          <w:top w:w="15" w:type="dxa"/>
          <w:left w:w="15" w:type="dxa"/>
          <w:bottom w:w="15" w:type="dxa"/>
          <w:right w:w="15" w:type="dxa"/>
        </w:tblCellMar>
        <w:tblLook w:val="04A0" w:firstRow="1" w:lastRow="0" w:firstColumn="1" w:lastColumn="0" w:noHBand="0" w:noVBand="1"/>
      </w:tblPr>
      <w:tblGrid>
        <w:gridCol w:w="462"/>
        <w:gridCol w:w="599"/>
        <w:gridCol w:w="765"/>
        <w:gridCol w:w="991"/>
        <w:gridCol w:w="599"/>
        <w:gridCol w:w="765"/>
        <w:gridCol w:w="991"/>
        <w:gridCol w:w="204"/>
        <w:gridCol w:w="296"/>
        <w:gridCol w:w="765"/>
        <w:gridCol w:w="991"/>
      </w:tblGrid>
      <w:tr w:rsidR="009A0B86" w:rsidRPr="002A63BA" w14:paraId="788F5D38" w14:textId="77777777" w:rsidTr="009A0B86">
        <w:tc>
          <w:tcPr>
            <w:tcW w:w="188" w:type="pct"/>
            <w:vMerge w:val="restart"/>
            <w:tcBorders>
              <w:top w:val="single" w:sz="4" w:space="0" w:color="000000"/>
              <w:left w:val="single" w:sz="4" w:space="0" w:color="000000"/>
              <w:bottom w:val="single" w:sz="4" w:space="0" w:color="000000"/>
              <w:right w:val="single" w:sz="4" w:space="0" w:color="000000"/>
            </w:tcBorders>
            <w:shd w:val="clear" w:color="auto" w:fill="FFFFFF"/>
            <w:textDirection w:val="btLr"/>
            <w:vAlign w:val="bottom"/>
            <w:hideMark/>
          </w:tcPr>
          <w:p w14:paraId="1EE38D45" w14:textId="77777777" w:rsidR="007C3C4B" w:rsidRPr="002A63BA" w:rsidRDefault="007C3C4B" w:rsidP="009A0B86">
            <w:pPr>
              <w:spacing w:line="276" w:lineRule="auto"/>
              <w:ind w:left="113" w:right="113"/>
              <w:rPr>
                <w:rFonts w:ascii="Open Sans" w:hAnsi="Open Sans" w:cs="Open Sans"/>
              </w:rPr>
            </w:pPr>
            <w:r w:rsidRPr="002A63BA">
              <w:rPr>
                <w:rFonts w:ascii="Open Sans" w:hAnsi="Open Sans" w:cs="Open Sans"/>
              </w:rPr>
              <w:t>Component</w:t>
            </w:r>
          </w:p>
        </w:tc>
        <w:tc>
          <w:tcPr>
            <w:tcW w:w="1708" w:type="pct"/>
            <w:gridSpan w:val="3"/>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1AAF4678"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Initial Eigenvalues</w:t>
            </w:r>
          </w:p>
        </w:tc>
        <w:tc>
          <w:tcPr>
            <w:tcW w:w="1721" w:type="pct"/>
            <w:gridSpan w:val="4"/>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512F1820"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Extraction Sums of Squared Loadings</w:t>
            </w:r>
          </w:p>
        </w:tc>
        <w:tc>
          <w:tcPr>
            <w:tcW w:w="1383" w:type="pct"/>
            <w:gridSpan w:val="3"/>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16BD55C0"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Rotation Sums of Squared Loadings</w:t>
            </w:r>
          </w:p>
        </w:tc>
      </w:tr>
      <w:tr w:rsidR="009A0B86" w:rsidRPr="002A63BA" w14:paraId="0D7AF598" w14:textId="77777777" w:rsidTr="009A0B86">
        <w:tc>
          <w:tcPr>
            <w:tcW w:w="188" w:type="pct"/>
            <w:vMerge/>
            <w:tcBorders>
              <w:top w:val="single" w:sz="4" w:space="0" w:color="000000"/>
              <w:left w:val="single" w:sz="4" w:space="0" w:color="000000"/>
              <w:bottom w:val="single" w:sz="4" w:space="0" w:color="000000"/>
              <w:right w:val="single" w:sz="4" w:space="0" w:color="000000"/>
            </w:tcBorders>
            <w:vAlign w:val="center"/>
            <w:hideMark/>
          </w:tcPr>
          <w:p w14:paraId="2EF82F92" w14:textId="77777777" w:rsidR="007C3C4B" w:rsidRPr="002A63BA" w:rsidRDefault="007C3C4B" w:rsidP="00FF3EE4">
            <w:pPr>
              <w:spacing w:line="276" w:lineRule="auto"/>
              <w:rPr>
                <w:rFonts w:ascii="Open Sans" w:hAnsi="Open Sans" w:cs="Open Sans"/>
              </w:rPr>
            </w:pP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0245C232"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Total</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9379696"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 of Variance</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7498C897"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Cumulative %</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2454405E"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Total</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F362532"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 of Variance</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6B3DE134"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Cumulative %</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3FF57343"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Total</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653B66B"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 of Variance</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148A01FD"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Cumulative %</w:t>
            </w:r>
          </w:p>
        </w:tc>
      </w:tr>
      <w:tr w:rsidR="009A0B86" w:rsidRPr="002A63BA" w14:paraId="36A1D85B"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412C81EA" w14:textId="77777777" w:rsidR="007C3C4B" w:rsidRPr="002A63BA" w:rsidRDefault="007C3C4B" w:rsidP="00FF3EE4">
            <w:pPr>
              <w:spacing w:line="276" w:lineRule="auto"/>
              <w:rPr>
                <w:rFonts w:ascii="Open Sans" w:hAnsi="Open Sans" w:cs="Open Sans"/>
              </w:rPr>
            </w:pPr>
            <w:r w:rsidRPr="002A63BA">
              <w:rPr>
                <w:rFonts w:ascii="Open Sans" w:hAnsi="Open Sans" w:cs="Open Sans"/>
              </w:rPr>
              <w:t>1</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380C29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13,522</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DB66A8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52,007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A22B6E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52,007</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0CFBCA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13,522</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C84E20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52,007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0E0097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52,007</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DD751A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4,176</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863409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16,063</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2B1B60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16,063</w:t>
            </w:r>
          </w:p>
        </w:tc>
      </w:tr>
      <w:tr w:rsidR="009A0B86" w:rsidRPr="002A63BA" w14:paraId="29B71998"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79F5E768" w14:textId="77777777" w:rsidR="007C3C4B" w:rsidRPr="002A63BA" w:rsidRDefault="007C3C4B" w:rsidP="00FF3EE4">
            <w:pPr>
              <w:spacing w:line="276" w:lineRule="auto"/>
              <w:rPr>
                <w:rFonts w:ascii="Open Sans" w:hAnsi="Open Sans" w:cs="Open Sans"/>
              </w:rPr>
            </w:pPr>
            <w:r w:rsidRPr="002A63BA">
              <w:rPr>
                <w:rFonts w:ascii="Open Sans" w:hAnsi="Open Sans" w:cs="Open Sans"/>
              </w:rPr>
              <w:lastRenderedPageBreak/>
              <w:t>2</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9BB848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2,478</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D72F4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9,531</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F3E0F5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61,538</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DF2DD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2,478</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EEE2B2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9,531</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1FB65A4"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61,538</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4772DE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3,076</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B29C5EB"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11,831</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C9ACCFF"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27,894</w:t>
            </w:r>
          </w:p>
        </w:tc>
      </w:tr>
      <w:tr w:rsidR="009A0B86" w:rsidRPr="002A63BA" w14:paraId="638F88FA"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705DB694" w14:textId="77777777" w:rsidR="007C3C4B" w:rsidRPr="002A63BA" w:rsidRDefault="007C3C4B" w:rsidP="00FF3EE4">
            <w:pPr>
              <w:spacing w:line="276" w:lineRule="auto"/>
              <w:rPr>
                <w:rFonts w:ascii="Open Sans" w:hAnsi="Open Sans" w:cs="Open Sans"/>
              </w:rPr>
            </w:pPr>
            <w:r w:rsidRPr="002A63BA">
              <w:rPr>
                <w:rFonts w:ascii="Open Sans" w:hAnsi="Open Sans" w:cs="Open Sans"/>
              </w:rPr>
              <w:t>3</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6324E3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1,871</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2EF76F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7,195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7B3933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68,733</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F22476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1,871</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11AA97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7,195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6E3182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68,733</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122BB0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3,075</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C6CF49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11,828</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AF0664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39,722</w:t>
            </w:r>
          </w:p>
        </w:tc>
      </w:tr>
      <w:tr w:rsidR="009A0B86" w:rsidRPr="002A63BA" w14:paraId="02933BED"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1486D5F6" w14:textId="77777777" w:rsidR="007C3C4B" w:rsidRPr="002A63BA" w:rsidRDefault="007C3C4B" w:rsidP="00FF3EE4">
            <w:pPr>
              <w:spacing w:line="276" w:lineRule="auto"/>
              <w:rPr>
                <w:rFonts w:ascii="Open Sans" w:hAnsi="Open Sans" w:cs="Open Sans"/>
              </w:rPr>
            </w:pPr>
            <w:r w:rsidRPr="002A63BA">
              <w:rPr>
                <w:rFonts w:ascii="Open Sans" w:hAnsi="Open Sans" w:cs="Open Sans"/>
              </w:rPr>
              <w:t>4</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CAEA8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1,380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A9309D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5,307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5EC5E2F"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74,040</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7E600F2"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1,380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DBF35E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5,307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B82DD3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74,040</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66D771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3,073</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07DE38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11,819</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88F754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51,542</w:t>
            </w:r>
          </w:p>
        </w:tc>
      </w:tr>
      <w:tr w:rsidR="009A0B86" w:rsidRPr="002A63BA" w14:paraId="228FD90F"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656EB4BC" w14:textId="77777777" w:rsidR="007C3C4B" w:rsidRPr="002A63BA" w:rsidRDefault="007C3C4B" w:rsidP="00FF3EE4">
            <w:pPr>
              <w:spacing w:line="276" w:lineRule="auto"/>
              <w:rPr>
                <w:rFonts w:ascii="Open Sans" w:hAnsi="Open Sans" w:cs="Open Sans"/>
              </w:rPr>
            </w:pPr>
            <w:r w:rsidRPr="002A63BA">
              <w:rPr>
                <w:rFonts w:ascii="Open Sans" w:hAnsi="Open Sans" w:cs="Open Sans"/>
              </w:rPr>
              <w:t>5</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3186EA2"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1,120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B5921A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4,308</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56C031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78,348</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BBF6EE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1,120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0DB2A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4,308</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8BE03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78,348</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325DB0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2,812</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E5059CF"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10,817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B9231D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62,358</w:t>
            </w:r>
          </w:p>
        </w:tc>
      </w:tr>
      <w:tr w:rsidR="009A0B86" w:rsidRPr="002A63BA" w14:paraId="7C0AAF5E"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0386CBE6" w14:textId="77777777" w:rsidR="007C3C4B" w:rsidRPr="002A63BA" w:rsidRDefault="007C3C4B" w:rsidP="00FF3EE4">
            <w:pPr>
              <w:spacing w:line="276" w:lineRule="auto"/>
              <w:rPr>
                <w:rFonts w:ascii="Open Sans" w:hAnsi="Open Sans" w:cs="Open Sans"/>
              </w:rPr>
            </w:pPr>
            <w:r w:rsidRPr="002A63BA">
              <w:rPr>
                <w:rFonts w:ascii="Open Sans" w:hAnsi="Open Sans" w:cs="Open Sans"/>
              </w:rPr>
              <w:t>6</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548F9E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1,091</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BA86B2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4,197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723E5F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82,545</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73A78B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1,091</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936F17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4,197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BD9E694"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82,545</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16F83C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2,597</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E1F0BC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9,988</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813009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72,346</w:t>
            </w:r>
          </w:p>
        </w:tc>
      </w:tr>
      <w:tr w:rsidR="009A0B86" w:rsidRPr="002A63BA" w14:paraId="6B953FBF"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40F6956C" w14:textId="77777777" w:rsidR="007C3C4B" w:rsidRPr="002A63BA" w:rsidRDefault="007C3C4B" w:rsidP="00FF3EE4">
            <w:pPr>
              <w:spacing w:line="276" w:lineRule="auto"/>
              <w:rPr>
                <w:rFonts w:ascii="Open Sans" w:hAnsi="Open Sans" w:cs="Open Sans"/>
              </w:rPr>
            </w:pPr>
            <w:r w:rsidRPr="002A63BA">
              <w:rPr>
                <w:rFonts w:ascii="Open Sans" w:hAnsi="Open Sans" w:cs="Open Sans"/>
              </w:rPr>
              <w:t>7</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CF15D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,950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985CF7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3,655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D75EE5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86,200</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0444F4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,950</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7A3077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3,655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461B5B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86,200</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3863A9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2,423</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F82F41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9,321</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DDB27D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81,667</w:t>
            </w:r>
          </w:p>
        </w:tc>
      </w:tr>
      <w:tr w:rsidR="009A0B86" w:rsidRPr="002A63BA" w14:paraId="0A511E2D" w14:textId="77777777" w:rsidTr="009A0B86">
        <w:tc>
          <w:tcPr>
            <w:tcW w:w="188" w:type="pct"/>
            <w:tcBorders>
              <w:top w:val="single" w:sz="4" w:space="0" w:color="000000"/>
              <w:left w:val="single" w:sz="4" w:space="0" w:color="000000"/>
              <w:bottom w:val="single" w:sz="4" w:space="0" w:color="000000"/>
              <w:right w:val="single" w:sz="4" w:space="0" w:color="000000"/>
            </w:tcBorders>
            <w:shd w:val="clear" w:color="auto" w:fill="FFFFFF"/>
            <w:hideMark/>
          </w:tcPr>
          <w:p w14:paraId="57BB62E5" w14:textId="77777777" w:rsidR="007C3C4B" w:rsidRPr="002A63BA" w:rsidRDefault="007C3C4B" w:rsidP="00FF3EE4">
            <w:pPr>
              <w:spacing w:line="276" w:lineRule="auto"/>
              <w:rPr>
                <w:rFonts w:ascii="Open Sans" w:hAnsi="Open Sans" w:cs="Open Sans"/>
              </w:rPr>
            </w:pPr>
            <w:r w:rsidRPr="002A63BA">
              <w:rPr>
                <w:rFonts w:ascii="Open Sans" w:hAnsi="Open Sans" w:cs="Open Sans"/>
              </w:rPr>
              <w:t>8</w:t>
            </w:r>
          </w:p>
        </w:tc>
        <w:tc>
          <w:tcPr>
            <w:tcW w:w="524"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ACDC33B"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,784</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2C798A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3,015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393AC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89,215</w:t>
            </w:r>
          </w:p>
        </w:tc>
        <w:tc>
          <w:tcPr>
            <w:tcW w:w="402"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490CFE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,784</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284316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3,015</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466F7A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89,215</w:t>
            </w:r>
          </w:p>
        </w:tc>
        <w:tc>
          <w:tcPr>
            <w:tcW w:w="336" w:type="pct"/>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D37C252"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1,962</w:t>
            </w:r>
          </w:p>
        </w:tc>
        <w:tc>
          <w:tcPr>
            <w:tcW w:w="515"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F2698E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7,547</w:t>
            </w:r>
          </w:p>
        </w:tc>
        <w:tc>
          <w:tcPr>
            <w:tcW w:w="668" w:type="pc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6C4E34F"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89,215</w:t>
            </w:r>
          </w:p>
        </w:tc>
      </w:tr>
      <w:tr w:rsidR="007C3C4B" w:rsidRPr="002A63BA" w14:paraId="3351C5E5" w14:textId="77777777" w:rsidTr="009A0B86">
        <w:tc>
          <w:tcPr>
            <w:tcW w:w="5000" w:type="pct"/>
            <w:gridSpan w:val="11"/>
            <w:tcBorders>
              <w:top w:val="single" w:sz="4" w:space="0" w:color="000000"/>
              <w:left w:val="single" w:sz="4" w:space="0" w:color="000000"/>
              <w:bottom w:val="single" w:sz="4" w:space="0" w:color="000000"/>
              <w:right w:val="single" w:sz="4" w:space="0" w:color="000000"/>
            </w:tcBorders>
            <w:shd w:val="clear" w:color="auto" w:fill="FFFFFF"/>
            <w:hideMark/>
          </w:tcPr>
          <w:p w14:paraId="64FF5AF8" w14:textId="77777777" w:rsidR="007C3C4B" w:rsidRPr="002A63BA" w:rsidRDefault="007C3C4B" w:rsidP="00FF3EE4">
            <w:pPr>
              <w:spacing w:line="276" w:lineRule="auto"/>
              <w:rPr>
                <w:rFonts w:ascii="Open Sans" w:hAnsi="Open Sans" w:cs="Open Sans"/>
              </w:rPr>
            </w:pPr>
            <w:r w:rsidRPr="002A63BA">
              <w:rPr>
                <w:rFonts w:ascii="Open Sans" w:hAnsi="Open Sans" w:cs="Open Sans"/>
              </w:rPr>
              <w:t>Extraction Method: Principal Component Analysis.</w:t>
            </w:r>
          </w:p>
        </w:tc>
      </w:tr>
    </w:tbl>
    <w:p w14:paraId="1D34F33D" w14:textId="77777777" w:rsidR="007C3C4B" w:rsidRPr="002A63BA" w:rsidRDefault="007C3C4B" w:rsidP="00FF3EE4">
      <w:pPr>
        <w:adjustRightInd w:val="0"/>
        <w:spacing w:line="276" w:lineRule="auto"/>
        <w:rPr>
          <w:rFonts w:ascii="Open Sans" w:hAnsi="Open Sans" w:cs="Open Sans"/>
        </w:rPr>
      </w:pPr>
    </w:p>
    <w:p w14:paraId="13643C76"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 xml:space="preserve">Table 3. </w:t>
      </w:r>
      <w:r w:rsidRPr="002A63BA">
        <w:rPr>
          <w:rFonts w:ascii="Open Sans" w:hAnsi="Open Sans" w:cs="Open Sans"/>
          <w:bCs/>
        </w:rPr>
        <w:t>Rotated Component Matrix</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92"/>
        <w:gridCol w:w="567"/>
        <w:gridCol w:w="567"/>
        <w:gridCol w:w="567"/>
        <w:gridCol w:w="567"/>
        <w:gridCol w:w="567"/>
        <w:gridCol w:w="567"/>
        <w:gridCol w:w="567"/>
        <w:gridCol w:w="567"/>
      </w:tblGrid>
      <w:tr w:rsidR="007C3C4B" w:rsidRPr="002A63BA" w14:paraId="740EDD7B" w14:textId="77777777" w:rsidTr="007C3C4B">
        <w:trPr>
          <w:cantSplit/>
        </w:trPr>
        <w:tc>
          <w:tcPr>
            <w:tcW w:w="2878" w:type="pct"/>
            <w:vMerge w:val="restart"/>
            <w:shd w:val="clear" w:color="auto" w:fill="FFFFFF"/>
            <w:vAlign w:val="bottom"/>
          </w:tcPr>
          <w:p w14:paraId="0770316B" w14:textId="77777777" w:rsidR="007C3C4B" w:rsidRPr="002A63BA" w:rsidRDefault="007C3C4B" w:rsidP="00FF3EE4">
            <w:pPr>
              <w:adjustRightInd w:val="0"/>
              <w:spacing w:line="276" w:lineRule="auto"/>
              <w:rPr>
                <w:rFonts w:ascii="Open Sans" w:hAnsi="Open Sans" w:cs="Open Sans"/>
              </w:rPr>
            </w:pPr>
          </w:p>
        </w:tc>
        <w:tc>
          <w:tcPr>
            <w:tcW w:w="2122" w:type="pct"/>
            <w:gridSpan w:val="8"/>
            <w:shd w:val="clear" w:color="auto" w:fill="FFFFFF"/>
            <w:vAlign w:val="bottom"/>
          </w:tcPr>
          <w:p w14:paraId="76249256"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Component</w:t>
            </w:r>
          </w:p>
        </w:tc>
      </w:tr>
      <w:tr w:rsidR="007C3C4B" w:rsidRPr="002A63BA" w14:paraId="3A0D87D9" w14:textId="77777777" w:rsidTr="007C3C4B">
        <w:trPr>
          <w:cantSplit/>
        </w:trPr>
        <w:tc>
          <w:tcPr>
            <w:tcW w:w="2878" w:type="pct"/>
            <w:vMerge/>
            <w:shd w:val="clear" w:color="auto" w:fill="FFFFFF"/>
            <w:vAlign w:val="bottom"/>
          </w:tcPr>
          <w:p w14:paraId="7953BBC7" w14:textId="77777777" w:rsidR="007C3C4B" w:rsidRPr="002A63BA" w:rsidRDefault="007C3C4B" w:rsidP="00FF3EE4">
            <w:pPr>
              <w:adjustRightInd w:val="0"/>
              <w:spacing w:line="276" w:lineRule="auto"/>
              <w:rPr>
                <w:rFonts w:ascii="Open Sans" w:hAnsi="Open Sans" w:cs="Open Sans"/>
              </w:rPr>
            </w:pPr>
          </w:p>
        </w:tc>
        <w:tc>
          <w:tcPr>
            <w:tcW w:w="313" w:type="pct"/>
            <w:shd w:val="clear" w:color="auto" w:fill="FFFFFF"/>
            <w:vAlign w:val="bottom"/>
          </w:tcPr>
          <w:p w14:paraId="1C57CA7D"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1</w:t>
            </w:r>
          </w:p>
        </w:tc>
        <w:tc>
          <w:tcPr>
            <w:tcW w:w="258" w:type="pct"/>
            <w:shd w:val="clear" w:color="auto" w:fill="FFFFFF"/>
            <w:vAlign w:val="bottom"/>
          </w:tcPr>
          <w:p w14:paraId="6EFFE75D"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2</w:t>
            </w:r>
          </w:p>
        </w:tc>
        <w:tc>
          <w:tcPr>
            <w:tcW w:w="258" w:type="pct"/>
            <w:shd w:val="clear" w:color="auto" w:fill="FFFFFF"/>
            <w:vAlign w:val="bottom"/>
          </w:tcPr>
          <w:p w14:paraId="6A5BBF56"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3</w:t>
            </w:r>
          </w:p>
        </w:tc>
        <w:tc>
          <w:tcPr>
            <w:tcW w:w="258" w:type="pct"/>
            <w:shd w:val="clear" w:color="auto" w:fill="FFFFFF"/>
            <w:vAlign w:val="bottom"/>
          </w:tcPr>
          <w:p w14:paraId="5CC83D74"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4</w:t>
            </w:r>
          </w:p>
        </w:tc>
        <w:tc>
          <w:tcPr>
            <w:tcW w:w="258" w:type="pct"/>
            <w:shd w:val="clear" w:color="auto" w:fill="FFFFFF"/>
            <w:vAlign w:val="bottom"/>
          </w:tcPr>
          <w:p w14:paraId="08EA649C"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5</w:t>
            </w:r>
          </w:p>
        </w:tc>
        <w:tc>
          <w:tcPr>
            <w:tcW w:w="258" w:type="pct"/>
            <w:shd w:val="clear" w:color="auto" w:fill="FFFFFF"/>
            <w:vAlign w:val="bottom"/>
          </w:tcPr>
          <w:p w14:paraId="23226381"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6</w:t>
            </w:r>
          </w:p>
        </w:tc>
        <w:tc>
          <w:tcPr>
            <w:tcW w:w="258" w:type="pct"/>
            <w:shd w:val="clear" w:color="auto" w:fill="FFFFFF"/>
            <w:vAlign w:val="bottom"/>
          </w:tcPr>
          <w:p w14:paraId="7950137E"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7</w:t>
            </w:r>
          </w:p>
        </w:tc>
        <w:tc>
          <w:tcPr>
            <w:tcW w:w="262" w:type="pct"/>
            <w:shd w:val="clear" w:color="auto" w:fill="FFFFFF"/>
            <w:vAlign w:val="bottom"/>
          </w:tcPr>
          <w:p w14:paraId="1008BB7E" w14:textId="77777777" w:rsidR="007C3C4B" w:rsidRPr="002A63BA" w:rsidRDefault="007C3C4B" w:rsidP="00FF3EE4">
            <w:pPr>
              <w:adjustRightInd w:val="0"/>
              <w:spacing w:line="276" w:lineRule="auto"/>
              <w:ind w:left="60" w:right="60"/>
              <w:jc w:val="center"/>
              <w:rPr>
                <w:rFonts w:ascii="Open Sans" w:hAnsi="Open Sans" w:cs="Open Sans"/>
              </w:rPr>
            </w:pPr>
            <w:r w:rsidRPr="002A63BA">
              <w:rPr>
                <w:rFonts w:ascii="Open Sans" w:hAnsi="Open Sans" w:cs="Open Sans"/>
              </w:rPr>
              <w:t>8</w:t>
            </w:r>
          </w:p>
        </w:tc>
      </w:tr>
      <w:tr w:rsidR="007C3C4B" w:rsidRPr="002A63BA" w14:paraId="2057F962" w14:textId="77777777" w:rsidTr="007C3C4B">
        <w:trPr>
          <w:cantSplit/>
        </w:trPr>
        <w:tc>
          <w:tcPr>
            <w:tcW w:w="2878" w:type="pct"/>
            <w:shd w:val="clear" w:color="auto" w:fill="FFFFFF"/>
          </w:tcPr>
          <w:p w14:paraId="342156B7"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PE3 Using a bikeshare system helps me to complete tasks faster.</w:t>
            </w:r>
          </w:p>
        </w:tc>
        <w:tc>
          <w:tcPr>
            <w:tcW w:w="313" w:type="pct"/>
            <w:shd w:val="clear" w:color="auto" w:fill="FFFFFF"/>
            <w:vAlign w:val="center"/>
          </w:tcPr>
          <w:p w14:paraId="7E087DDF"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,847</w:t>
            </w:r>
          </w:p>
        </w:tc>
        <w:tc>
          <w:tcPr>
            <w:tcW w:w="258" w:type="pct"/>
            <w:shd w:val="clear" w:color="auto" w:fill="FFFFFF"/>
            <w:vAlign w:val="center"/>
          </w:tcPr>
          <w:p w14:paraId="26D1DA9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BBB68A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FAAEFC4"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BBCF9E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BCC32F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3CC06F9"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65343EBE"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36C9E926" w14:textId="77777777" w:rsidTr="007C3C4B">
        <w:trPr>
          <w:cantSplit/>
        </w:trPr>
        <w:tc>
          <w:tcPr>
            <w:tcW w:w="2878" w:type="pct"/>
            <w:shd w:val="clear" w:color="auto" w:fill="FFFFFF"/>
          </w:tcPr>
          <w:p w14:paraId="6A06EFD4"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lastRenderedPageBreak/>
              <w:t>PE2 Using the bikeshare system increases the chances of achieving the tasks that are important to me.</w:t>
            </w:r>
          </w:p>
        </w:tc>
        <w:tc>
          <w:tcPr>
            <w:tcW w:w="313" w:type="pct"/>
            <w:shd w:val="clear" w:color="auto" w:fill="FFFFFF"/>
            <w:vAlign w:val="center"/>
          </w:tcPr>
          <w:p w14:paraId="272B7FF1"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,839</w:t>
            </w:r>
          </w:p>
        </w:tc>
        <w:tc>
          <w:tcPr>
            <w:tcW w:w="258" w:type="pct"/>
            <w:shd w:val="clear" w:color="auto" w:fill="FFFFFF"/>
            <w:vAlign w:val="center"/>
          </w:tcPr>
          <w:p w14:paraId="4AD817E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F1A6444"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285730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49988D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124532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99733AB"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18A616EB"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452ED7CA" w14:textId="77777777" w:rsidTr="007C3C4B">
        <w:trPr>
          <w:cantSplit/>
        </w:trPr>
        <w:tc>
          <w:tcPr>
            <w:tcW w:w="2878" w:type="pct"/>
            <w:shd w:val="clear" w:color="auto" w:fill="FFFFFF"/>
          </w:tcPr>
          <w:p w14:paraId="7B021DFC"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PE4 Using a bikeshare system raises my productivity.</w:t>
            </w:r>
          </w:p>
        </w:tc>
        <w:tc>
          <w:tcPr>
            <w:tcW w:w="313" w:type="pct"/>
            <w:shd w:val="clear" w:color="auto" w:fill="FFFFFF"/>
            <w:vAlign w:val="center"/>
          </w:tcPr>
          <w:p w14:paraId="1B453BD1"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,834</w:t>
            </w:r>
          </w:p>
        </w:tc>
        <w:tc>
          <w:tcPr>
            <w:tcW w:w="258" w:type="pct"/>
            <w:shd w:val="clear" w:color="auto" w:fill="FFFFFF"/>
            <w:vAlign w:val="center"/>
          </w:tcPr>
          <w:p w14:paraId="4A1490B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200F43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9A5576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7176641"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7BAC94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3C826FF"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08CD0B0"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805F6AE" w14:textId="77777777" w:rsidTr="007C3C4B">
        <w:trPr>
          <w:cantSplit/>
        </w:trPr>
        <w:tc>
          <w:tcPr>
            <w:tcW w:w="2878" w:type="pct"/>
            <w:shd w:val="clear" w:color="auto" w:fill="FFFFFF"/>
          </w:tcPr>
          <w:p w14:paraId="311930C8"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PE1 I find the bikeshare system useful in my daily life.</w:t>
            </w:r>
          </w:p>
        </w:tc>
        <w:tc>
          <w:tcPr>
            <w:tcW w:w="313" w:type="pct"/>
            <w:shd w:val="clear" w:color="auto" w:fill="FFFFFF"/>
            <w:vAlign w:val="center"/>
          </w:tcPr>
          <w:p w14:paraId="2E713EA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,764</w:t>
            </w:r>
          </w:p>
        </w:tc>
        <w:tc>
          <w:tcPr>
            <w:tcW w:w="258" w:type="pct"/>
            <w:shd w:val="clear" w:color="auto" w:fill="FFFFFF"/>
            <w:vAlign w:val="center"/>
          </w:tcPr>
          <w:p w14:paraId="497E3A6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A936D2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4CFC5B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1E1C99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DFE745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5C26EC5"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3F205FBF"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42ABF18" w14:textId="77777777" w:rsidTr="007C3C4B">
        <w:trPr>
          <w:cantSplit/>
        </w:trPr>
        <w:tc>
          <w:tcPr>
            <w:tcW w:w="2878" w:type="pct"/>
            <w:shd w:val="clear" w:color="auto" w:fill="FFFFFF"/>
          </w:tcPr>
          <w:p w14:paraId="77D5584F"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SI2 People who influence my behavior think that I should use a bikeshare system.</w:t>
            </w:r>
          </w:p>
        </w:tc>
        <w:tc>
          <w:tcPr>
            <w:tcW w:w="313" w:type="pct"/>
            <w:shd w:val="clear" w:color="auto" w:fill="FFFFFF"/>
            <w:vAlign w:val="center"/>
          </w:tcPr>
          <w:p w14:paraId="4EA9CC81"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31749C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,865</w:t>
            </w:r>
          </w:p>
        </w:tc>
        <w:tc>
          <w:tcPr>
            <w:tcW w:w="258" w:type="pct"/>
            <w:shd w:val="clear" w:color="auto" w:fill="FFFFFF"/>
            <w:vAlign w:val="center"/>
          </w:tcPr>
          <w:p w14:paraId="0F772E9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A44218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2C68EA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65C9F3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A552AC5"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405691F8"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3FE97006" w14:textId="77777777" w:rsidTr="007C3C4B">
        <w:trPr>
          <w:cantSplit/>
        </w:trPr>
        <w:tc>
          <w:tcPr>
            <w:tcW w:w="2878" w:type="pct"/>
            <w:shd w:val="clear" w:color="auto" w:fill="FFFFFF"/>
          </w:tcPr>
          <w:p w14:paraId="06F1DA0F"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SI3 People whose opinions I value prefer to use the bikeshare system.</w:t>
            </w:r>
          </w:p>
        </w:tc>
        <w:tc>
          <w:tcPr>
            <w:tcW w:w="313" w:type="pct"/>
            <w:shd w:val="clear" w:color="auto" w:fill="FFFFFF"/>
            <w:vAlign w:val="center"/>
          </w:tcPr>
          <w:p w14:paraId="074718D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D919E97"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,859</w:t>
            </w:r>
          </w:p>
        </w:tc>
        <w:tc>
          <w:tcPr>
            <w:tcW w:w="258" w:type="pct"/>
            <w:shd w:val="clear" w:color="auto" w:fill="FFFFFF"/>
            <w:vAlign w:val="center"/>
          </w:tcPr>
          <w:p w14:paraId="667DEB8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7C2AB9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23D5CC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71D1C7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2DA5A86"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1DCF973B"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C8BF1F9" w14:textId="77777777" w:rsidTr="007C3C4B">
        <w:trPr>
          <w:cantSplit/>
        </w:trPr>
        <w:tc>
          <w:tcPr>
            <w:tcW w:w="2878" w:type="pct"/>
            <w:shd w:val="clear" w:color="auto" w:fill="FFFFFF"/>
          </w:tcPr>
          <w:p w14:paraId="797B7BDB"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SI1 People who matter to me think I should use a bikeshare system.</w:t>
            </w:r>
          </w:p>
        </w:tc>
        <w:tc>
          <w:tcPr>
            <w:tcW w:w="313" w:type="pct"/>
            <w:shd w:val="clear" w:color="auto" w:fill="FFFFFF"/>
            <w:vAlign w:val="center"/>
          </w:tcPr>
          <w:p w14:paraId="114B6D0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5A38C87"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,815</w:t>
            </w:r>
          </w:p>
        </w:tc>
        <w:tc>
          <w:tcPr>
            <w:tcW w:w="258" w:type="pct"/>
            <w:shd w:val="clear" w:color="auto" w:fill="FFFFFF"/>
            <w:vAlign w:val="center"/>
          </w:tcPr>
          <w:p w14:paraId="3E52D3B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A91B21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269A0D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94CA12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BCEA2AB"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114343C7"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24B3B60" w14:textId="77777777" w:rsidTr="007C3C4B">
        <w:trPr>
          <w:cantSplit/>
        </w:trPr>
        <w:tc>
          <w:tcPr>
            <w:tcW w:w="2878" w:type="pct"/>
            <w:shd w:val="clear" w:color="auto" w:fill="FFFFFF"/>
          </w:tcPr>
          <w:p w14:paraId="7FCEBEA3"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FC1 I have the resources needed to use the bikeshare system.</w:t>
            </w:r>
          </w:p>
        </w:tc>
        <w:tc>
          <w:tcPr>
            <w:tcW w:w="313" w:type="pct"/>
            <w:shd w:val="clear" w:color="auto" w:fill="FFFFFF"/>
            <w:vAlign w:val="center"/>
          </w:tcPr>
          <w:p w14:paraId="3974639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11E1CD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B44E3F5"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,830</w:t>
            </w:r>
          </w:p>
        </w:tc>
        <w:tc>
          <w:tcPr>
            <w:tcW w:w="258" w:type="pct"/>
            <w:shd w:val="clear" w:color="auto" w:fill="FFFFFF"/>
            <w:vAlign w:val="center"/>
          </w:tcPr>
          <w:p w14:paraId="5CE9F9E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725133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45E3DC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E75DD1B"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7AB02368"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67F8A408" w14:textId="77777777" w:rsidTr="007C3C4B">
        <w:trPr>
          <w:cantSplit/>
        </w:trPr>
        <w:tc>
          <w:tcPr>
            <w:tcW w:w="2878" w:type="pct"/>
            <w:shd w:val="clear" w:color="auto" w:fill="FFFFFF"/>
          </w:tcPr>
          <w:p w14:paraId="2B31AF9D"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FC2 I have the knowledge needed to use the bikeshare system.</w:t>
            </w:r>
          </w:p>
        </w:tc>
        <w:tc>
          <w:tcPr>
            <w:tcW w:w="313" w:type="pct"/>
            <w:shd w:val="clear" w:color="auto" w:fill="FFFFFF"/>
            <w:vAlign w:val="center"/>
          </w:tcPr>
          <w:p w14:paraId="2C2AD66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270FCE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3A1D8B8"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,756</w:t>
            </w:r>
          </w:p>
        </w:tc>
        <w:tc>
          <w:tcPr>
            <w:tcW w:w="258" w:type="pct"/>
            <w:shd w:val="clear" w:color="auto" w:fill="FFFFFF"/>
            <w:vAlign w:val="center"/>
          </w:tcPr>
          <w:p w14:paraId="3303DF4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699FF9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CEDFD72"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120D8DA"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442C0640"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028452AE" w14:textId="77777777" w:rsidTr="007C3C4B">
        <w:trPr>
          <w:cantSplit/>
        </w:trPr>
        <w:tc>
          <w:tcPr>
            <w:tcW w:w="2878" w:type="pct"/>
            <w:shd w:val="clear" w:color="auto" w:fill="FFFFFF"/>
          </w:tcPr>
          <w:p w14:paraId="48B9BE7E"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lastRenderedPageBreak/>
              <w:t>FC4 I can get help from others when I have difficulty using the bikeshare system.</w:t>
            </w:r>
          </w:p>
        </w:tc>
        <w:tc>
          <w:tcPr>
            <w:tcW w:w="313" w:type="pct"/>
            <w:shd w:val="clear" w:color="auto" w:fill="FFFFFF"/>
            <w:vAlign w:val="center"/>
          </w:tcPr>
          <w:p w14:paraId="18CDBDB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7F3FC6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627F7D4"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,675</w:t>
            </w:r>
          </w:p>
        </w:tc>
        <w:tc>
          <w:tcPr>
            <w:tcW w:w="258" w:type="pct"/>
            <w:shd w:val="clear" w:color="auto" w:fill="FFFFFF"/>
            <w:vAlign w:val="center"/>
          </w:tcPr>
          <w:p w14:paraId="565B611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AA9CBB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EF7E83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794788B"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15E16249"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39908468" w14:textId="77777777" w:rsidTr="007C3C4B">
        <w:trPr>
          <w:cantSplit/>
        </w:trPr>
        <w:tc>
          <w:tcPr>
            <w:tcW w:w="2878" w:type="pct"/>
            <w:shd w:val="clear" w:color="auto" w:fill="FFFFFF"/>
          </w:tcPr>
          <w:p w14:paraId="29648D9E"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FC3 The Bikeshare system is compatible with other technologies I use.</w:t>
            </w:r>
          </w:p>
        </w:tc>
        <w:tc>
          <w:tcPr>
            <w:tcW w:w="313" w:type="pct"/>
            <w:shd w:val="clear" w:color="auto" w:fill="FFFFFF"/>
            <w:vAlign w:val="center"/>
          </w:tcPr>
          <w:p w14:paraId="1199A6E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EA5388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3772F06"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,659</w:t>
            </w:r>
          </w:p>
        </w:tc>
        <w:tc>
          <w:tcPr>
            <w:tcW w:w="258" w:type="pct"/>
            <w:shd w:val="clear" w:color="auto" w:fill="FFFFFF"/>
            <w:vAlign w:val="center"/>
          </w:tcPr>
          <w:p w14:paraId="7E53BCB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D7A9F0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433A96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CF5E65A"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2092C4B1"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08F1D2F1" w14:textId="77777777" w:rsidTr="007C3C4B">
        <w:trPr>
          <w:cantSplit/>
        </w:trPr>
        <w:tc>
          <w:tcPr>
            <w:tcW w:w="2878" w:type="pct"/>
            <w:shd w:val="clear" w:color="auto" w:fill="FFFFFF"/>
          </w:tcPr>
          <w:p w14:paraId="783455E8"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PV1 The Bikeshare system has a reasonable price.</w:t>
            </w:r>
          </w:p>
        </w:tc>
        <w:tc>
          <w:tcPr>
            <w:tcW w:w="313" w:type="pct"/>
            <w:shd w:val="clear" w:color="auto" w:fill="FFFFFF"/>
            <w:vAlign w:val="center"/>
          </w:tcPr>
          <w:p w14:paraId="0AD0941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ECE75C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189F07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3DB1206"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,865</w:t>
            </w:r>
          </w:p>
        </w:tc>
        <w:tc>
          <w:tcPr>
            <w:tcW w:w="258" w:type="pct"/>
            <w:shd w:val="clear" w:color="auto" w:fill="FFFFFF"/>
            <w:vAlign w:val="center"/>
          </w:tcPr>
          <w:p w14:paraId="764F2F44"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6D541A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E44B0E8"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3C439D2E"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DD41695" w14:textId="77777777" w:rsidTr="007C3C4B">
        <w:trPr>
          <w:cantSplit/>
        </w:trPr>
        <w:tc>
          <w:tcPr>
            <w:tcW w:w="2878" w:type="pct"/>
            <w:shd w:val="clear" w:color="auto" w:fill="FFFFFF"/>
          </w:tcPr>
          <w:p w14:paraId="40362A3D"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PV2 The Bikeshare system provides good value for money.</w:t>
            </w:r>
          </w:p>
        </w:tc>
        <w:tc>
          <w:tcPr>
            <w:tcW w:w="313" w:type="pct"/>
            <w:shd w:val="clear" w:color="auto" w:fill="FFFFFF"/>
            <w:vAlign w:val="center"/>
          </w:tcPr>
          <w:p w14:paraId="78FF32F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152E82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4A1D3E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F4AF865"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,842</w:t>
            </w:r>
          </w:p>
        </w:tc>
        <w:tc>
          <w:tcPr>
            <w:tcW w:w="258" w:type="pct"/>
            <w:shd w:val="clear" w:color="auto" w:fill="FFFFFF"/>
            <w:vAlign w:val="center"/>
          </w:tcPr>
          <w:p w14:paraId="1A280C5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D6F252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BF1FD92"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0D99BC29"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AB383F2" w14:textId="77777777" w:rsidTr="007C3C4B">
        <w:trPr>
          <w:cantSplit/>
        </w:trPr>
        <w:tc>
          <w:tcPr>
            <w:tcW w:w="2878" w:type="pct"/>
            <w:shd w:val="clear" w:color="auto" w:fill="FFFFFF"/>
          </w:tcPr>
          <w:p w14:paraId="2C7339FB"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PV3 At the current price, the Bikeshare system provides good value.</w:t>
            </w:r>
          </w:p>
        </w:tc>
        <w:tc>
          <w:tcPr>
            <w:tcW w:w="313" w:type="pct"/>
            <w:shd w:val="clear" w:color="auto" w:fill="FFFFFF"/>
            <w:vAlign w:val="center"/>
          </w:tcPr>
          <w:p w14:paraId="5B84229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72F842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4ED6D5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3894E3E"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,830</w:t>
            </w:r>
          </w:p>
        </w:tc>
        <w:tc>
          <w:tcPr>
            <w:tcW w:w="258" w:type="pct"/>
            <w:shd w:val="clear" w:color="auto" w:fill="FFFFFF"/>
            <w:vAlign w:val="center"/>
          </w:tcPr>
          <w:p w14:paraId="558B890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5157A1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3FA5B78"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3693AF29"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7F9CD92A" w14:textId="77777777" w:rsidTr="007C3C4B">
        <w:trPr>
          <w:cantSplit/>
        </w:trPr>
        <w:tc>
          <w:tcPr>
            <w:tcW w:w="2878" w:type="pct"/>
            <w:shd w:val="clear" w:color="auto" w:fill="FFFFFF"/>
          </w:tcPr>
          <w:p w14:paraId="33D9C2C4"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EE4 It's easy for me to become proficient in using a bikeshare system.] Expected effort:</w:t>
            </w:r>
          </w:p>
        </w:tc>
        <w:tc>
          <w:tcPr>
            <w:tcW w:w="313" w:type="pct"/>
            <w:shd w:val="clear" w:color="auto" w:fill="FFFFFF"/>
            <w:vAlign w:val="center"/>
          </w:tcPr>
          <w:p w14:paraId="4411A99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4A44EF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E76214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4E7D95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D89C70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,730</w:t>
            </w:r>
          </w:p>
        </w:tc>
        <w:tc>
          <w:tcPr>
            <w:tcW w:w="258" w:type="pct"/>
            <w:shd w:val="clear" w:color="auto" w:fill="FFFFFF"/>
            <w:vAlign w:val="center"/>
          </w:tcPr>
          <w:p w14:paraId="29A6460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AD8F0E0"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1F9DB105"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4F4E943B" w14:textId="77777777" w:rsidTr="007C3C4B">
        <w:trPr>
          <w:cantSplit/>
        </w:trPr>
        <w:tc>
          <w:tcPr>
            <w:tcW w:w="2878" w:type="pct"/>
            <w:shd w:val="clear" w:color="auto" w:fill="FFFFFF"/>
          </w:tcPr>
          <w:p w14:paraId="3F4423FB"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EE2 My interaction with the bikeshare system is clear and understandable.</w:t>
            </w:r>
          </w:p>
        </w:tc>
        <w:tc>
          <w:tcPr>
            <w:tcW w:w="313" w:type="pct"/>
            <w:shd w:val="clear" w:color="auto" w:fill="FFFFFF"/>
            <w:vAlign w:val="center"/>
          </w:tcPr>
          <w:p w14:paraId="34253A9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,412</w:t>
            </w:r>
          </w:p>
        </w:tc>
        <w:tc>
          <w:tcPr>
            <w:tcW w:w="258" w:type="pct"/>
            <w:shd w:val="clear" w:color="auto" w:fill="FFFFFF"/>
            <w:vAlign w:val="center"/>
          </w:tcPr>
          <w:p w14:paraId="13465821"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CAF9B3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7E273C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580A196"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,715</w:t>
            </w:r>
          </w:p>
        </w:tc>
        <w:tc>
          <w:tcPr>
            <w:tcW w:w="258" w:type="pct"/>
            <w:shd w:val="clear" w:color="auto" w:fill="FFFFFF"/>
            <w:vAlign w:val="center"/>
          </w:tcPr>
          <w:p w14:paraId="42C3E0D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F9580C7"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57A48FA"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2D832590" w14:textId="77777777" w:rsidTr="007C3C4B">
        <w:trPr>
          <w:cantSplit/>
        </w:trPr>
        <w:tc>
          <w:tcPr>
            <w:tcW w:w="2878" w:type="pct"/>
            <w:shd w:val="clear" w:color="auto" w:fill="FFFFFF"/>
          </w:tcPr>
          <w:p w14:paraId="14998D7A"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EE3 I find the bikeshare system easy to use.</w:t>
            </w:r>
          </w:p>
        </w:tc>
        <w:tc>
          <w:tcPr>
            <w:tcW w:w="313" w:type="pct"/>
            <w:shd w:val="clear" w:color="auto" w:fill="FFFFFF"/>
            <w:vAlign w:val="center"/>
          </w:tcPr>
          <w:p w14:paraId="61D54654"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DF7E98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AC6677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87BF30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6275996"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,691</w:t>
            </w:r>
          </w:p>
        </w:tc>
        <w:tc>
          <w:tcPr>
            <w:tcW w:w="258" w:type="pct"/>
            <w:shd w:val="clear" w:color="auto" w:fill="FFFFFF"/>
            <w:vAlign w:val="center"/>
          </w:tcPr>
          <w:p w14:paraId="5EA4CDF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37E944F"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A0C8625"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3A6460DE" w14:textId="77777777" w:rsidTr="007C3C4B">
        <w:trPr>
          <w:cantSplit/>
        </w:trPr>
        <w:tc>
          <w:tcPr>
            <w:tcW w:w="2878" w:type="pct"/>
            <w:shd w:val="clear" w:color="auto" w:fill="FFFFFF"/>
          </w:tcPr>
          <w:p w14:paraId="1B44E346"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EE1 It's easy for me to learn to use the bikeshare systemExpected effort:</w:t>
            </w:r>
          </w:p>
        </w:tc>
        <w:tc>
          <w:tcPr>
            <w:tcW w:w="313" w:type="pct"/>
            <w:shd w:val="clear" w:color="auto" w:fill="FFFFFF"/>
            <w:vAlign w:val="center"/>
          </w:tcPr>
          <w:p w14:paraId="3CCFC5B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9E14D7C"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3664A84"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64573D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1798FF7"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,687</w:t>
            </w:r>
          </w:p>
        </w:tc>
        <w:tc>
          <w:tcPr>
            <w:tcW w:w="258" w:type="pct"/>
            <w:shd w:val="clear" w:color="auto" w:fill="FFFFFF"/>
            <w:vAlign w:val="center"/>
          </w:tcPr>
          <w:p w14:paraId="3F94CB8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A51AB60"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3A2862D5"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05DA26F2" w14:textId="77777777" w:rsidTr="007C3C4B">
        <w:trPr>
          <w:cantSplit/>
        </w:trPr>
        <w:tc>
          <w:tcPr>
            <w:tcW w:w="2878" w:type="pct"/>
            <w:shd w:val="clear" w:color="auto" w:fill="FFFFFF"/>
          </w:tcPr>
          <w:p w14:paraId="37E4F62C"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lastRenderedPageBreak/>
              <w:t>PA3 I want to use a bikeshare system because of the physical activity it provides me.</w:t>
            </w:r>
          </w:p>
        </w:tc>
        <w:tc>
          <w:tcPr>
            <w:tcW w:w="313" w:type="pct"/>
            <w:shd w:val="clear" w:color="auto" w:fill="FFFFFF"/>
            <w:vAlign w:val="center"/>
          </w:tcPr>
          <w:p w14:paraId="65C4C16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83DBC2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368158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B0EFBC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8DE581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4E7214F"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,824</w:t>
            </w:r>
          </w:p>
        </w:tc>
        <w:tc>
          <w:tcPr>
            <w:tcW w:w="258" w:type="pct"/>
            <w:shd w:val="clear" w:color="auto" w:fill="FFFFFF"/>
            <w:vAlign w:val="center"/>
          </w:tcPr>
          <w:p w14:paraId="51F5A632"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7F5A57A"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163D8813" w14:textId="77777777" w:rsidTr="007C3C4B">
        <w:trPr>
          <w:cantSplit/>
        </w:trPr>
        <w:tc>
          <w:tcPr>
            <w:tcW w:w="2878" w:type="pct"/>
            <w:shd w:val="clear" w:color="auto" w:fill="FFFFFF"/>
          </w:tcPr>
          <w:p w14:paraId="1D14BB6D"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PA2 I find that the bikeshare system provides me with adequate physical activity.</w:t>
            </w:r>
          </w:p>
        </w:tc>
        <w:tc>
          <w:tcPr>
            <w:tcW w:w="313" w:type="pct"/>
            <w:shd w:val="clear" w:color="auto" w:fill="FFFFFF"/>
            <w:vAlign w:val="center"/>
          </w:tcPr>
          <w:p w14:paraId="3F67103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FE558E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C918B9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6A4CD5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B663FE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CAE245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,823</w:t>
            </w:r>
          </w:p>
        </w:tc>
        <w:tc>
          <w:tcPr>
            <w:tcW w:w="258" w:type="pct"/>
            <w:shd w:val="clear" w:color="auto" w:fill="FFFFFF"/>
            <w:vAlign w:val="center"/>
          </w:tcPr>
          <w:p w14:paraId="5FB5B41D"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8CB9C71"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6885A9EC" w14:textId="77777777" w:rsidTr="007C3C4B">
        <w:trPr>
          <w:cantSplit/>
        </w:trPr>
        <w:tc>
          <w:tcPr>
            <w:tcW w:w="2878" w:type="pct"/>
            <w:shd w:val="clear" w:color="auto" w:fill="FFFFFF"/>
          </w:tcPr>
          <w:p w14:paraId="5199FF64"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PA1 Using a bikeshare system is good for my health.</w:t>
            </w:r>
          </w:p>
        </w:tc>
        <w:tc>
          <w:tcPr>
            <w:tcW w:w="313" w:type="pct"/>
            <w:shd w:val="clear" w:color="auto" w:fill="FFFFFF"/>
            <w:vAlign w:val="center"/>
          </w:tcPr>
          <w:p w14:paraId="1BE78BE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CEED7F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1DFD74E"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3538421"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600DA0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9BA0C6D"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,680</w:t>
            </w:r>
          </w:p>
        </w:tc>
        <w:tc>
          <w:tcPr>
            <w:tcW w:w="258" w:type="pct"/>
            <w:shd w:val="clear" w:color="auto" w:fill="FFFFFF"/>
            <w:vAlign w:val="center"/>
          </w:tcPr>
          <w:p w14:paraId="617B740F"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82041B5"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638757B6" w14:textId="77777777" w:rsidTr="007C3C4B">
        <w:trPr>
          <w:cantSplit/>
        </w:trPr>
        <w:tc>
          <w:tcPr>
            <w:tcW w:w="2878" w:type="pct"/>
            <w:shd w:val="clear" w:color="auto" w:fill="FFFFFF"/>
          </w:tcPr>
          <w:p w14:paraId="6AD4B586"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PR2 Using a bikeshare system puts me at risk.</w:t>
            </w:r>
          </w:p>
        </w:tc>
        <w:tc>
          <w:tcPr>
            <w:tcW w:w="313" w:type="pct"/>
            <w:shd w:val="clear" w:color="auto" w:fill="FFFFFF"/>
            <w:vAlign w:val="center"/>
          </w:tcPr>
          <w:p w14:paraId="7D44BA01"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0A0C0F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21755F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448B75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4AE9F0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A17DD9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09D6C23"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,928</w:t>
            </w:r>
          </w:p>
        </w:tc>
        <w:tc>
          <w:tcPr>
            <w:tcW w:w="262" w:type="pct"/>
            <w:shd w:val="clear" w:color="auto" w:fill="FFFFFF"/>
            <w:vAlign w:val="center"/>
          </w:tcPr>
          <w:p w14:paraId="324A32B0"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5598C0B3" w14:textId="77777777" w:rsidTr="007C3C4B">
        <w:trPr>
          <w:cantSplit/>
        </w:trPr>
        <w:tc>
          <w:tcPr>
            <w:tcW w:w="2878" w:type="pct"/>
            <w:shd w:val="clear" w:color="auto" w:fill="FFFFFF"/>
          </w:tcPr>
          <w:p w14:paraId="5A3CDB49"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PR1 I find that using the bikeshare system threatens my privacy.</w:t>
            </w:r>
          </w:p>
        </w:tc>
        <w:tc>
          <w:tcPr>
            <w:tcW w:w="313" w:type="pct"/>
            <w:shd w:val="clear" w:color="auto" w:fill="FFFFFF"/>
            <w:vAlign w:val="center"/>
          </w:tcPr>
          <w:p w14:paraId="6BB572E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B0623F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59FAEE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A058F6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25B918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DEAAE8D"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F372E24"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,913</w:t>
            </w:r>
          </w:p>
        </w:tc>
        <w:tc>
          <w:tcPr>
            <w:tcW w:w="262" w:type="pct"/>
            <w:shd w:val="clear" w:color="auto" w:fill="FFFFFF"/>
            <w:vAlign w:val="center"/>
          </w:tcPr>
          <w:p w14:paraId="42F1E987"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4C29B217" w14:textId="77777777" w:rsidTr="007C3C4B">
        <w:trPr>
          <w:cantSplit/>
        </w:trPr>
        <w:tc>
          <w:tcPr>
            <w:tcW w:w="2878" w:type="pct"/>
            <w:shd w:val="clear" w:color="auto" w:fill="FFFFFF"/>
          </w:tcPr>
          <w:p w14:paraId="60257901" w14:textId="77777777" w:rsidR="007C3C4B" w:rsidRPr="002A63BA" w:rsidRDefault="007C3C4B" w:rsidP="00FF3EE4">
            <w:pPr>
              <w:adjustRightInd w:val="0"/>
              <w:spacing w:line="276" w:lineRule="auto"/>
              <w:ind w:right="62"/>
              <w:rPr>
                <w:rFonts w:ascii="Open Sans" w:hAnsi="Open Sans" w:cs="Open Sans"/>
              </w:rPr>
            </w:pPr>
            <w:r w:rsidRPr="002A63BA">
              <w:rPr>
                <w:rFonts w:ascii="Open Sans" w:hAnsi="Open Sans" w:cs="Open Sans"/>
              </w:rPr>
              <w:t xml:space="preserve"> PR3 Using a bikeshare system will not fit well into my image.</w:t>
            </w:r>
          </w:p>
        </w:tc>
        <w:tc>
          <w:tcPr>
            <w:tcW w:w="313" w:type="pct"/>
            <w:shd w:val="clear" w:color="auto" w:fill="FFFFFF"/>
            <w:vAlign w:val="center"/>
          </w:tcPr>
          <w:p w14:paraId="189FFD5F"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CC7EF7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D3A8CC9"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3A37CBB8"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98F1D60"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5266A2F2"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6860B29"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,774</w:t>
            </w:r>
          </w:p>
        </w:tc>
        <w:tc>
          <w:tcPr>
            <w:tcW w:w="262" w:type="pct"/>
            <w:shd w:val="clear" w:color="auto" w:fill="FFFFFF"/>
            <w:vAlign w:val="center"/>
          </w:tcPr>
          <w:p w14:paraId="1F66F74B" w14:textId="77777777" w:rsidR="007C3C4B" w:rsidRPr="002A63BA" w:rsidRDefault="007C3C4B" w:rsidP="00FF3EE4">
            <w:pPr>
              <w:adjustRightInd w:val="0"/>
              <w:spacing w:line="276" w:lineRule="auto"/>
              <w:ind w:right="62"/>
              <w:rPr>
                <w:rFonts w:ascii="Open Sans" w:hAnsi="Open Sans" w:cs="Open Sans"/>
              </w:rPr>
            </w:pPr>
          </w:p>
        </w:tc>
      </w:tr>
      <w:tr w:rsidR="007C3C4B" w:rsidRPr="002A63BA" w14:paraId="7D62F352" w14:textId="77777777" w:rsidTr="007C3C4B">
        <w:trPr>
          <w:cantSplit/>
        </w:trPr>
        <w:tc>
          <w:tcPr>
            <w:tcW w:w="2878" w:type="pct"/>
            <w:shd w:val="clear" w:color="auto" w:fill="FFFFFF"/>
          </w:tcPr>
          <w:p w14:paraId="76A1FEE2" w14:textId="77777777" w:rsidR="007C3C4B" w:rsidRPr="002A63BA" w:rsidRDefault="007C3C4B" w:rsidP="00FF3EE4">
            <w:pPr>
              <w:adjustRightInd w:val="0"/>
              <w:spacing w:line="276" w:lineRule="auto"/>
              <w:ind w:right="62"/>
              <w:rPr>
                <w:rFonts w:ascii="Open Sans" w:hAnsi="Open Sans" w:cs="Open Sans"/>
              </w:rPr>
            </w:pPr>
            <w:r w:rsidRPr="002A63BA">
              <w:rPr>
                <w:rFonts w:ascii="Open Sans" w:hAnsi="Open Sans" w:cs="Open Sans"/>
              </w:rPr>
              <w:t xml:space="preserve"> EA2 I believe that the bikeshare transport system is more sustainable than other transport systems.</w:t>
            </w:r>
          </w:p>
        </w:tc>
        <w:tc>
          <w:tcPr>
            <w:tcW w:w="313" w:type="pct"/>
            <w:shd w:val="clear" w:color="auto" w:fill="FFFFFF"/>
            <w:vAlign w:val="center"/>
          </w:tcPr>
          <w:p w14:paraId="3FBC1ED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EF7BF9A"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17E31D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114AD61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F048AEB"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C5253A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2D60184B"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5A90BB01"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,878</w:t>
            </w:r>
          </w:p>
        </w:tc>
      </w:tr>
      <w:tr w:rsidR="007C3C4B" w:rsidRPr="002A63BA" w14:paraId="54D1135D" w14:textId="77777777" w:rsidTr="007C3C4B">
        <w:trPr>
          <w:cantSplit/>
        </w:trPr>
        <w:tc>
          <w:tcPr>
            <w:tcW w:w="2878" w:type="pct"/>
            <w:shd w:val="clear" w:color="auto" w:fill="FFFFFF"/>
          </w:tcPr>
          <w:p w14:paraId="581D8873" w14:textId="77777777" w:rsidR="007C3C4B" w:rsidRPr="002A63BA" w:rsidRDefault="007C3C4B" w:rsidP="00FF3EE4">
            <w:pPr>
              <w:adjustRightInd w:val="0"/>
              <w:spacing w:line="276" w:lineRule="auto"/>
              <w:ind w:right="62"/>
              <w:rPr>
                <w:rFonts w:ascii="Open Sans" w:hAnsi="Open Sans" w:cs="Open Sans"/>
              </w:rPr>
            </w:pPr>
            <w:r w:rsidRPr="002A63BA">
              <w:rPr>
                <w:rFonts w:ascii="Open Sans" w:hAnsi="Open Sans" w:cs="Open Sans"/>
              </w:rPr>
              <w:t xml:space="preserve"> EA1 By using the bikeshare system I have a positive impact on the environment.</w:t>
            </w:r>
          </w:p>
        </w:tc>
        <w:tc>
          <w:tcPr>
            <w:tcW w:w="313" w:type="pct"/>
            <w:shd w:val="clear" w:color="auto" w:fill="FFFFFF"/>
            <w:vAlign w:val="center"/>
          </w:tcPr>
          <w:p w14:paraId="000880C5"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140A2A3"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07AC3357"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43A55D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7CFBECA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67B28A86" w14:textId="77777777" w:rsidR="007C3C4B" w:rsidRPr="002A63BA" w:rsidRDefault="007C3C4B" w:rsidP="00FF3EE4">
            <w:pPr>
              <w:adjustRightInd w:val="0"/>
              <w:spacing w:line="276" w:lineRule="auto"/>
              <w:ind w:right="62"/>
              <w:rPr>
                <w:rFonts w:ascii="Open Sans" w:hAnsi="Open Sans" w:cs="Open Sans"/>
              </w:rPr>
            </w:pPr>
          </w:p>
        </w:tc>
        <w:tc>
          <w:tcPr>
            <w:tcW w:w="258" w:type="pct"/>
            <w:shd w:val="clear" w:color="auto" w:fill="FFFFFF"/>
            <w:vAlign w:val="center"/>
          </w:tcPr>
          <w:p w14:paraId="47791803" w14:textId="77777777" w:rsidR="007C3C4B" w:rsidRPr="002A63BA" w:rsidRDefault="007C3C4B" w:rsidP="00FF3EE4">
            <w:pPr>
              <w:adjustRightInd w:val="0"/>
              <w:spacing w:line="276" w:lineRule="auto"/>
              <w:ind w:right="62"/>
              <w:rPr>
                <w:rFonts w:ascii="Open Sans" w:hAnsi="Open Sans" w:cs="Open Sans"/>
              </w:rPr>
            </w:pPr>
          </w:p>
        </w:tc>
        <w:tc>
          <w:tcPr>
            <w:tcW w:w="262" w:type="pct"/>
            <w:shd w:val="clear" w:color="auto" w:fill="FFFFFF"/>
            <w:vAlign w:val="center"/>
          </w:tcPr>
          <w:p w14:paraId="0B9B030F" w14:textId="77777777" w:rsidR="007C3C4B" w:rsidRPr="002A63BA" w:rsidRDefault="007C3C4B" w:rsidP="00FF3EE4">
            <w:pPr>
              <w:adjustRightInd w:val="0"/>
              <w:spacing w:line="276" w:lineRule="auto"/>
              <w:ind w:left="60" w:right="62"/>
              <w:jc w:val="right"/>
              <w:rPr>
                <w:rFonts w:ascii="Open Sans" w:hAnsi="Open Sans" w:cs="Open Sans"/>
              </w:rPr>
            </w:pPr>
            <w:r w:rsidRPr="002A63BA">
              <w:rPr>
                <w:rFonts w:ascii="Open Sans" w:hAnsi="Open Sans" w:cs="Open Sans"/>
              </w:rPr>
              <w:t>,875</w:t>
            </w:r>
          </w:p>
        </w:tc>
      </w:tr>
      <w:tr w:rsidR="007C3C4B" w:rsidRPr="002A63BA" w14:paraId="37EA0EDA" w14:textId="77777777" w:rsidTr="007C3C4B">
        <w:trPr>
          <w:cantSplit/>
        </w:trPr>
        <w:tc>
          <w:tcPr>
            <w:tcW w:w="5000" w:type="pct"/>
            <w:gridSpan w:val="9"/>
            <w:shd w:val="clear" w:color="auto" w:fill="FFFFFF"/>
          </w:tcPr>
          <w:p w14:paraId="73E0CA79"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Extraction Method: Principal Component Analysis.</w:t>
            </w:r>
          </w:p>
          <w:p w14:paraId="11C46F2F"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t>Rotation Method: Varimax with Kaiser Normalization.</w:t>
            </w:r>
          </w:p>
        </w:tc>
      </w:tr>
      <w:tr w:rsidR="007C3C4B" w:rsidRPr="002A63BA" w14:paraId="62DD8984" w14:textId="77777777" w:rsidTr="007C3C4B">
        <w:trPr>
          <w:cantSplit/>
        </w:trPr>
        <w:tc>
          <w:tcPr>
            <w:tcW w:w="5000" w:type="pct"/>
            <w:gridSpan w:val="9"/>
            <w:shd w:val="clear" w:color="auto" w:fill="FFFFFF"/>
          </w:tcPr>
          <w:p w14:paraId="2948A48D" w14:textId="77777777" w:rsidR="007C3C4B" w:rsidRPr="002A63BA" w:rsidRDefault="007C3C4B" w:rsidP="00FF3EE4">
            <w:pPr>
              <w:adjustRightInd w:val="0"/>
              <w:spacing w:line="276" w:lineRule="auto"/>
              <w:ind w:left="60" w:right="62"/>
              <w:rPr>
                <w:rFonts w:ascii="Open Sans" w:hAnsi="Open Sans" w:cs="Open Sans"/>
              </w:rPr>
            </w:pPr>
            <w:r w:rsidRPr="002A63BA">
              <w:rPr>
                <w:rFonts w:ascii="Open Sans" w:hAnsi="Open Sans" w:cs="Open Sans"/>
              </w:rPr>
              <w:lastRenderedPageBreak/>
              <w:t>a. Rotation converged in 6 iterations.</w:t>
            </w:r>
          </w:p>
        </w:tc>
      </w:tr>
    </w:tbl>
    <w:p w14:paraId="67F1740D" w14:textId="77777777" w:rsidR="007C3C4B" w:rsidRPr="002A63BA" w:rsidRDefault="007C3C4B" w:rsidP="00FF3EE4">
      <w:pPr>
        <w:adjustRightInd w:val="0"/>
        <w:spacing w:line="276" w:lineRule="auto"/>
        <w:rPr>
          <w:rFonts w:ascii="Open Sans" w:hAnsi="Open Sans" w:cs="Open Sans"/>
          <w:b/>
        </w:rPr>
      </w:pPr>
    </w:p>
    <w:p w14:paraId="34FE1487"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 xml:space="preserve">Calculated Cronbach alpha of extracted factors were: PE=0.965, EE=0.972, SI=0.950, FC=0.937, PV=0.979, PR=0.851, EA=0.877, PA=0.897, Initial construct BI=0.950. According to the previously presented hypothetical model, the analysis is divided into 2 regression models: </w:t>
      </w:r>
      <w:r w:rsidRPr="002A63BA">
        <w:rPr>
          <w:rFonts w:ascii="Open Sans" w:hAnsi="Open Sans" w:cs="Open Sans"/>
          <w:i/>
        </w:rPr>
        <w:t>the first model measures the impact of observed predictors on behavioral intention</w:t>
      </w:r>
      <w:r w:rsidRPr="002A63BA">
        <w:rPr>
          <w:rFonts w:ascii="Open Sans" w:hAnsi="Open Sans" w:cs="Open Sans"/>
        </w:rPr>
        <w:t>, while the second refers to mea</w:t>
      </w:r>
      <w:r w:rsidRPr="002A63BA">
        <w:rPr>
          <w:rFonts w:ascii="Open Sans" w:hAnsi="Open Sans" w:cs="Open Sans"/>
          <w:i/>
        </w:rPr>
        <w:t>suring the impact of behavioral intention and facilitating conditions on use behavior</w:t>
      </w:r>
      <w:r w:rsidRPr="002A63BA">
        <w:rPr>
          <w:rFonts w:ascii="Open Sans" w:hAnsi="Open Sans" w:cs="Open Sans"/>
        </w:rPr>
        <w:t>. The model tested if the extracted factors can significantly predict the behavioral intention. The results including the level of statistical significance, the standardized Beta coefficient, R, and R-squared, are presented in Table 4. The R-value of 0.903 is quite high, where the minimum value for further analysis is 0.4 (Jain and Chetty, 2019). The R2 value refers to the total variation of the dependent variable that can be explained by the independent variables. The minimum required variance value should be 0.5, and the R2 value of the model satisfies this condition.</w:t>
      </w:r>
    </w:p>
    <w:p w14:paraId="126657E9"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 xml:space="preserve">Furthermore, an ANOVA test was performed, which shows whether the significance of the model is high enough to estimate the model's output. The significance of the model should be less than 0.05 for the variable to be considered significant. In this model, the significance level is &lt;0.01, which means that the model is significant. </w:t>
      </w:r>
    </w:p>
    <w:p w14:paraId="7B474974" w14:textId="77777777" w:rsidR="007C3C4B" w:rsidRPr="002A63BA" w:rsidRDefault="007C3C4B" w:rsidP="00FF3EE4">
      <w:pPr>
        <w:adjustRightInd w:val="0"/>
        <w:spacing w:line="276" w:lineRule="auto"/>
        <w:rPr>
          <w:rFonts w:ascii="Open Sans" w:hAnsi="Open Sans" w:cs="Open Sans"/>
        </w:rPr>
      </w:pPr>
    </w:p>
    <w:p w14:paraId="78D9CFBD"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Table 4. Enter linear regression for dependent variable behavioral intention.</w:t>
      </w:r>
    </w:p>
    <w:tbl>
      <w:tblPr>
        <w:tblW w:w="0" w:type="auto"/>
        <w:jc w:val="center"/>
        <w:tblCellMar>
          <w:top w:w="15" w:type="dxa"/>
          <w:left w:w="15" w:type="dxa"/>
          <w:bottom w:w="15" w:type="dxa"/>
          <w:right w:w="15" w:type="dxa"/>
        </w:tblCellMar>
        <w:tblLook w:val="04A0" w:firstRow="1" w:lastRow="0" w:firstColumn="1" w:lastColumn="0" w:noHBand="0" w:noVBand="1"/>
      </w:tblPr>
      <w:tblGrid>
        <w:gridCol w:w="1442"/>
        <w:gridCol w:w="1085"/>
        <w:gridCol w:w="661"/>
        <w:gridCol w:w="1003"/>
        <w:gridCol w:w="2009"/>
        <w:gridCol w:w="763"/>
        <w:gridCol w:w="465"/>
      </w:tblGrid>
      <w:tr w:rsidR="007C3C4B" w:rsidRPr="002A63BA" w14:paraId="3ABADD7C" w14:textId="77777777" w:rsidTr="007C3C4B">
        <w:trPr>
          <w:jc w:val="center"/>
        </w:trPr>
        <w:tc>
          <w:tcPr>
            <w:tcW w:w="0" w:type="auto"/>
            <w:gridSpan w:val="7"/>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7037561"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b/>
                <w:bCs/>
              </w:rPr>
              <w:t>Coefficients</w:t>
            </w:r>
          </w:p>
        </w:tc>
      </w:tr>
      <w:tr w:rsidR="007C3C4B" w:rsidRPr="002A63BA" w14:paraId="60A5809B" w14:textId="77777777" w:rsidTr="007C3C4B">
        <w:trPr>
          <w:jc w:val="center"/>
        </w:trPr>
        <w:tc>
          <w:tcPr>
            <w:tcW w:w="0" w:type="auto"/>
            <w:gridSpan w:val="2"/>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2DCFB052" w14:textId="77777777" w:rsidR="007C3C4B" w:rsidRPr="002A63BA" w:rsidRDefault="007C3C4B" w:rsidP="00FF3EE4">
            <w:pPr>
              <w:spacing w:line="276" w:lineRule="auto"/>
              <w:rPr>
                <w:rFonts w:ascii="Open Sans" w:hAnsi="Open Sans" w:cs="Open Sans"/>
              </w:rPr>
            </w:pPr>
            <w:r w:rsidRPr="002A63BA">
              <w:rPr>
                <w:rFonts w:ascii="Open Sans" w:hAnsi="Open Sans" w:cs="Open Sans"/>
              </w:rPr>
              <w:t>Model</w:t>
            </w:r>
          </w:p>
        </w:tc>
        <w:tc>
          <w:tcPr>
            <w:tcW w:w="0" w:type="auto"/>
            <w:gridSpan w:val="2"/>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13ABFE34"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Unstandardized Coefficients</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843BE26"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Standardized Coefficients</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69E2868D"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t</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3250CBC1"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Sig.</w:t>
            </w:r>
          </w:p>
        </w:tc>
      </w:tr>
      <w:tr w:rsidR="007C3C4B" w:rsidRPr="002A63BA" w14:paraId="67FE33E1" w14:textId="77777777" w:rsidTr="007C3C4B">
        <w:trPr>
          <w:jc w:val="center"/>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48439DD0"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650A16CB"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B</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F19489B"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Std. Error</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18033A81"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Beta</w:t>
            </w: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4EE81252" w14:textId="77777777" w:rsidR="007C3C4B" w:rsidRPr="002A63BA" w:rsidRDefault="007C3C4B" w:rsidP="00FF3EE4">
            <w:pPr>
              <w:spacing w:line="276" w:lineRule="auto"/>
              <w:rPr>
                <w:rFonts w:ascii="Open Sans" w:hAnsi="Open Sans" w:cs="Open San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13BB1E" w14:textId="77777777" w:rsidR="007C3C4B" w:rsidRPr="002A63BA" w:rsidRDefault="007C3C4B" w:rsidP="00FF3EE4">
            <w:pPr>
              <w:spacing w:line="276" w:lineRule="auto"/>
              <w:rPr>
                <w:rFonts w:ascii="Open Sans" w:hAnsi="Open Sans" w:cs="Open Sans"/>
              </w:rPr>
            </w:pPr>
          </w:p>
        </w:tc>
      </w:tr>
      <w:tr w:rsidR="007C3C4B" w:rsidRPr="002A63BA" w14:paraId="0117FBCF" w14:textId="77777777" w:rsidTr="007C3C4B">
        <w:trPr>
          <w:jc w:val="center"/>
        </w:trPr>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1E19319B" w14:textId="77777777" w:rsidR="007C3C4B" w:rsidRPr="002A63BA" w:rsidRDefault="007C3C4B" w:rsidP="00FF3EE4">
            <w:pPr>
              <w:spacing w:line="276" w:lineRule="auto"/>
              <w:rPr>
                <w:rFonts w:ascii="Open Sans" w:hAnsi="Open Sans" w:cs="Open Sans"/>
              </w:rPr>
            </w:pPr>
            <w:r w:rsidRPr="002A63BA">
              <w:rPr>
                <w:rFonts w:ascii="Open Sans" w:hAnsi="Open Sans" w:cs="Open Sans"/>
              </w:rPr>
              <w:lastRenderedPageBreak/>
              <w:t>Enter linear regression</w:t>
            </w:r>
          </w:p>
          <w:p w14:paraId="4790CC3E" w14:textId="77777777" w:rsidR="007C3C4B" w:rsidRPr="002A63BA" w:rsidRDefault="007C3C4B" w:rsidP="00FF3EE4">
            <w:pPr>
              <w:spacing w:line="276" w:lineRule="auto"/>
              <w:rPr>
                <w:rFonts w:ascii="Open Sans" w:hAnsi="Open Sans" w:cs="Open Sans"/>
              </w:rPr>
            </w:pPr>
            <w:r w:rsidRPr="002A63BA">
              <w:rPr>
                <w:rFonts w:ascii="Open Sans" w:hAnsi="Open Sans" w:cs="Open Sans"/>
              </w:rPr>
              <w:t>R=0,903</w:t>
            </w:r>
          </w:p>
          <w:p w14:paraId="18F84490" w14:textId="77777777" w:rsidR="007C3C4B" w:rsidRPr="002A63BA" w:rsidRDefault="007C3C4B" w:rsidP="00FF3EE4">
            <w:pPr>
              <w:spacing w:line="276" w:lineRule="auto"/>
              <w:rPr>
                <w:rFonts w:ascii="Open Sans" w:hAnsi="Open Sans" w:cs="Open Sans"/>
              </w:rPr>
            </w:pPr>
            <w:r w:rsidRPr="002A63BA">
              <w:rPr>
                <w:rFonts w:ascii="Open Sans" w:hAnsi="Open Sans" w:cs="Open Sans"/>
              </w:rPr>
              <w:t>R Square=0,815</w:t>
            </w: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076AFA38" w14:textId="77777777" w:rsidR="007C3C4B" w:rsidRPr="002A63BA" w:rsidRDefault="007C3C4B" w:rsidP="00FF3EE4">
            <w:pPr>
              <w:spacing w:line="276" w:lineRule="auto"/>
              <w:rPr>
                <w:rFonts w:ascii="Open Sans" w:hAnsi="Open Sans" w:cs="Open Sans"/>
              </w:rPr>
            </w:pPr>
            <w:r w:rsidRPr="002A63BA">
              <w:rPr>
                <w:rFonts w:ascii="Open Sans" w:hAnsi="Open Sans" w:cs="Open Sans"/>
              </w:rPr>
              <w:t>(Constant)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E0DE8C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-1,657</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6A7B0C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,409</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A356249" w14:textId="77777777" w:rsidR="007C3C4B" w:rsidRPr="002A63BA" w:rsidRDefault="007C3C4B" w:rsidP="00FF3EE4">
            <w:pPr>
              <w:spacing w:line="276" w:lineRule="auto"/>
              <w:rPr>
                <w:rFonts w:ascii="Open Sans" w:hAnsi="Open Sans" w:cs="Open Sans"/>
              </w:rPr>
            </w:pP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D0879D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-4,049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937E9F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67E629A9"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023DB77"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4AA71E9A" w14:textId="77777777" w:rsidR="007C3C4B" w:rsidRPr="002A63BA" w:rsidRDefault="007C3C4B" w:rsidP="00FF3EE4">
            <w:pPr>
              <w:spacing w:line="276" w:lineRule="auto"/>
              <w:rPr>
                <w:rFonts w:ascii="Open Sans" w:hAnsi="Open Sans" w:cs="Open Sans"/>
              </w:rPr>
            </w:pPr>
            <w:r w:rsidRPr="002A63BA">
              <w:rPr>
                <w:rFonts w:ascii="Open Sans" w:hAnsi="Open Sans" w:cs="Open Sans"/>
              </w:rPr>
              <w:t>PE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84DCC0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,269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B99150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,049</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AC8FB1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,269</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B54C49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5,444</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E06DA0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388A2F81"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D91562"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3A16140A" w14:textId="77777777" w:rsidR="007C3C4B" w:rsidRPr="002A63BA" w:rsidRDefault="007C3C4B" w:rsidP="00FF3EE4">
            <w:pPr>
              <w:spacing w:line="276" w:lineRule="auto"/>
              <w:rPr>
                <w:rFonts w:ascii="Open Sans" w:hAnsi="Open Sans" w:cs="Open Sans"/>
              </w:rPr>
            </w:pPr>
            <w:r w:rsidRPr="002A63BA">
              <w:rPr>
                <w:rFonts w:ascii="Open Sans" w:hAnsi="Open Sans" w:cs="Open Sans"/>
              </w:rPr>
              <w:t>EE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C0B896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,191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1A29F4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,059</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6C5AB5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,181</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84AA05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3,221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1F6EA6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,001</w:t>
            </w:r>
          </w:p>
        </w:tc>
      </w:tr>
      <w:tr w:rsidR="007C3C4B" w:rsidRPr="002A63BA" w14:paraId="489330C5"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84D3E68"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365FEDC1" w14:textId="77777777" w:rsidR="007C3C4B" w:rsidRPr="002A63BA" w:rsidRDefault="007C3C4B" w:rsidP="00FF3EE4">
            <w:pPr>
              <w:spacing w:line="276" w:lineRule="auto"/>
              <w:rPr>
                <w:rFonts w:ascii="Open Sans" w:hAnsi="Open Sans" w:cs="Open Sans"/>
              </w:rPr>
            </w:pPr>
            <w:r w:rsidRPr="002A63BA">
              <w:rPr>
                <w:rFonts w:ascii="Open Sans" w:hAnsi="Open Sans" w:cs="Open Sans"/>
              </w:rPr>
              <w:t>SI</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930D404"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,276</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1425B3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,055</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9B15A6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,209</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3E678C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5,019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BB3B77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5BFB90EE"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1C2C0CB"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376B13AC" w14:textId="77777777" w:rsidR="007C3C4B" w:rsidRPr="002A63BA" w:rsidRDefault="007C3C4B" w:rsidP="00FF3EE4">
            <w:pPr>
              <w:spacing w:line="276" w:lineRule="auto"/>
              <w:rPr>
                <w:rFonts w:ascii="Open Sans" w:hAnsi="Open Sans" w:cs="Open Sans"/>
              </w:rPr>
            </w:pPr>
            <w:r w:rsidRPr="002A63BA">
              <w:rPr>
                <w:rFonts w:ascii="Open Sans" w:hAnsi="Open Sans" w:cs="Open Sans"/>
              </w:rPr>
              <w:t>PV</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1DE84D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09B711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,053</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64E6DA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,151</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D1618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3,426</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0976B4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,001</w:t>
            </w:r>
          </w:p>
        </w:tc>
      </w:tr>
      <w:tr w:rsidR="007C3C4B" w:rsidRPr="002A63BA" w14:paraId="23A40DB1"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CF3EA41"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146E99C1" w14:textId="77777777" w:rsidR="007C3C4B" w:rsidRPr="002A63BA" w:rsidRDefault="007C3C4B" w:rsidP="00FF3EE4">
            <w:pPr>
              <w:spacing w:line="276" w:lineRule="auto"/>
              <w:rPr>
                <w:rFonts w:ascii="Open Sans" w:hAnsi="Open Sans" w:cs="Open Sans"/>
              </w:rPr>
            </w:pPr>
            <w:r w:rsidRPr="002A63BA">
              <w:rPr>
                <w:rFonts w:ascii="Open Sans" w:hAnsi="Open Sans" w:cs="Open Sans"/>
              </w:rPr>
              <w:t>PR</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20D484B"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-,097</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29B548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,051</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C061BC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-,061</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1637FC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-1,880</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128C1E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,062</w:t>
            </w:r>
          </w:p>
        </w:tc>
      </w:tr>
      <w:tr w:rsidR="007C3C4B" w:rsidRPr="002A63BA" w14:paraId="2C91D047"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7AE176A"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1CC52EBA" w14:textId="77777777" w:rsidR="007C3C4B" w:rsidRPr="002A63BA" w:rsidRDefault="007C3C4B" w:rsidP="00FF3EE4">
            <w:pPr>
              <w:spacing w:line="276" w:lineRule="auto"/>
              <w:rPr>
                <w:rFonts w:ascii="Open Sans" w:hAnsi="Open Sans" w:cs="Open Sans"/>
              </w:rPr>
            </w:pPr>
            <w:r w:rsidRPr="002A63BA">
              <w:rPr>
                <w:rFonts w:ascii="Open Sans" w:hAnsi="Open Sans" w:cs="Open Sans"/>
              </w:rPr>
              <w:t>EA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39E5AA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,067</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D08A4A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,078</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FA0F79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,032</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D47A87B"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,869</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117793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,386</w:t>
            </w:r>
          </w:p>
        </w:tc>
      </w:tr>
      <w:tr w:rsidR="007C3C4B" w:rsidRPr="002A63BA" w14:paraId="0A5EEA97"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F00E87"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446A4FF9" w14:textId="77777777" w:rsidR="007C3C4B" w:rsidRPr="002A63BA" w:rsidRDefault="007C3C4B" w:rsidP="00FF3EE4">
            <w:pPr>
              <w:spacing w:line="276" w:lineRule="auto"/>
              <w:rPr>
                <w:rFonts w:ascii="Open Sans" w:hAnsi="Open Sans" w:cs="Open Sans"/>
              </w:rPr>
            </w:pPr>
            <w:r w:rsidRPr="002A63BA">
              <w:rPr>
                <w:rFonts w:ascii="Open Sans" w:hAnsi="Open Sans" w:cs="Open Sans"/>
              </w:rPr>
              <w:t>PA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D8AD1E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,345</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1A391F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,057</w:t>
            </w:r>
          </w:p>
        </w:tc>
        <w:tc>
          <w:tcPr>
            <w:tcW w:w="219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B228A2A"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,259</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71B4F4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6,073</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DBCADA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01501C55" w14:textId="77777777" w:rsidTr="007C3C4B">
        <w:trPr>
          <w:jc w:val="center"/>
        </w:trPr>
        <w:tc>
          <w:tcPr>
            <w:tcW w:w="0" w:type="auto"/>
            <w:gridSpan w:val="7"/>
            <w:tcBorders>
              <w:top w:val="single" w:sz="4" w:space="0" w:color="000000"/>
              <w:left w:val="single" w:sz="4" w:space="0" w:color="000000"/>
              <w:bottom w:val="single" w:sz="4" w:space="0" w:color="000000"/>
              <w:right w:val="single" w:sz="4" w:space="0" w:color="000000"/>
            </w:tcBorders>
            <w:shd w:val="clear" w:color="auto" w:fill="FFFFFF"/>
            <w:hideMark/>
          </w:tcPr>
          <w:p w14:paraId="765A4D30" w14:textId="77777777" w:rsidR="007C3C4B" w:rsidRPr="002A63BA" w:rsidRDefault="007C3C4B" w:rsidP="00FF3EE4">
            <w:pPr>
              <w:spacing w:line="276" w:lineRule="auto"/>
              <w:rPr>
                <w:rFonts w:ascii="Open Sans" w:hAnsi="Open Sans" w:cs="Open Sans"/>
              </w:rPr>
            </w:pPr>
            <w:r w:rsidRPr="002A63BA">
              <w:rPr>
                <w:rFonts w:ascii="Open Sans" w:hAnsi="Open Sans" w:cs="Open Sans"/>
              </w:rPr>
              <w:t>a. Dependent Variable: BI</w:t>
            </w:r>
          </w:p>
        </w:tc>
      </w:tr>
    </w:tbl>
    <w:p w14:paraId="795B9FF3" w14:textId="77777777" w:rsidR="007C3C4B" w:rsidRPr="002A63BA" w:rsidRDefault="007C3C4B" w:rsidP="00FF3EE4">
      <w:pPr>
        <w:adjustRightInd w:val="0"/>
        <w:spacing w:line="276" w:lineRule="auto"/>
        <w:rPr>
          <w:rFonts w:ascii="Open Sans" w:hAnsi="Open Sans" w:cs="Open Sans"/>
        </w:rPr>
      </w:pPr>
    </w:p>
    <w:p w14:paraId="5D4A659D" w14:textId="64916C06"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 xml:space="preserve">It is evident that the variables PR (perceived risk) and EA (environmental awareness) have a significance higher than 0.05 (values 0.062 and 0.386). Therefore, it was concluded that the PR and EA variables </w:t>
      </w:r>
      <w:r w:rsidRPr="002A63BA">
        <w:rPr>
          <w:rFonts w:ascii="Open Sans" w:hAnsi="Open Sans" w:cs="Open Sans"/>
          <w:i/>
        </w:rPr>
        <w:t>do not significantly impact behavioral intention</w:t>
      </w:r>
      <w:r w:rsidRPr="002A63BA">
        <w:rPr>
          <w:rFonts w:ascii="Open Sans" w:hAnsi="Open Sans" w:cs="Open Sans"/>
        </w:rPr>
        <w:t xml:space="preserve">. Using the Stepwise method of entering data into the regression model, variables that were not statistically significant were omitted. The previously mentioned F value, which should be between 0.5 and 1, was used as a criterion for data entry. By adding independent variables to the model, the values of R and R </w:t>
      </w:r>
      <w:r w:rsidRPr="002A63BA">
        <w:rPr>
          <w:rFonts w:ascii="Open Sans" w:hAnsi="Open Sans" w:cs="Open Sans"/>
          <w:vertAlign w:val="superscript"/>
        </w:rPr>
        <w:t>2</w:t>
      </w:r>
      <w:r w:rsidRPr="002A63BA">
        <w:rPr>
          <w:rFonts w:ascii="Open Sans" w:hAnsi="Open Sans" w:cs="Open Sans"/>
        </w:rPr>
        <w:t xml:space="preserve"> increase. In other words, model 5 shown in Table 4, which includes all statistically significant constructs, best describes the variation of the dependent variable BI.</w:t>
      </w:r>
    </w:p>
    <w:p w14:paraId="0A291733"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Table 5. Stepwise linear regression in 5th step for dependent variable behavioral intention.</w:t>
      </w:r>
    </w:p>
    <w:tbl>
      <w:tblPr>
        <w:tblW w:w="0" w:type="auto"/>
        <w:jc w:val="center"/>
        <w:tblCellMar>
          <w:top w:w="15" w:type="dxa"/>
          <w:left w:w="15" w:type="dxa"/>
          <w:bottom w:w="15" w:type="dxa"/>
          <w:right w:w="15" w:type="dxa"/>
        </w:tblCellMar>
        <w:tblLook w:val="04A0" w:firstRow="1" w:lastRow="0" w:firstColumn="1" w:lastColumn="0" w:noHBand="0" w:noVBand="1"/>
      </w:tblPr>
      <w:tblGrid>
        <w:gridCol w:w="1442"/>
        <w:gridCol w:w="1085"/>
        <w:gridCol w:w="661"/>
        <w:gridCol w:w="1003"/>
        <w:gridCol w:w="1992"/>
        <w:gridCol w:w="780"/>
        <w:gridCol w:w="465"/>
      </w:tblGrid>
      <w:tr w:rsidR="007C3C4B" w:rsidRPr="002A63BA" w14:paraId="6DED53FC" w14:textId="77777777" w:rsidTr="007C3C4B">
        <w:trPr>
          <w:jc w:val="center"/>
        </w:trPr>
        <w:tc>
          <w:tcPr>
            <w:tcW w:w="0" w:type="auto"/>
            <w:gridSpan w:val="7"/>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56BA6DD"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b/>
                <w:bCs/>
              </w:rPr>
              <w:t>Coefficients</w:t>
            </w:r>
          </w:p>
        </w:tc>
      </w:tr>
      <w:tr w:rsidR="007C3C4B" w:rsidRPr="002A63BA" w14:paraId="74C56918" w14:textId="77777777" w:rsidTr="007C3C4B">
        <w:trPr>
          <w:jc w:val="center"/>
        </w:trPr>
        <w:tc>
          <w:tcPr>
            <w:tcW w:w="0" w:type="auto"/>
            <w:gridSpan w:val="2"/>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44BBD35F" w14:textId="77777777" w:rsidR="007C3C4B" w:rsidRPr="002A63BA" w:rsidRDefault="007C3C4B" w:rsidP="00FF3EE4">
            <w:pPr>
              <w:spacing w:line="276" w:lineRule="auto"/>
              <w:rPr>
                <w:rFonts w:ascii="Open Sans" w:hAnsi="Open Sans" w:cs="Open Sans"/>
              </w:rPr>
            </w:pPr>
            <w:r w:rsidRPr="002A63BA">
              <w:rPr>
                <w:rFonts w:ascii="Open Sans" w:hAnsi="Open Sans" w:cs="Open Sans"/>
              </w:rPr>
              <w:t>Model</w:t>
            </w:r>
          </w:p>
        </w:tc>
        <w:tc>
          <w:tcPr>
            <w:tcW w:w="0" w:type="auto"/>
            <w:gridSpan w:val="2"/>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74A8C1D8"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Unstandardized Coefficients</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09216F9C"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Standardized Coefficients</w:t>
            </w:r>
          </w:p>
        </w:tc>
        <w:tc>
          <w:tcPr>
            <w:tcW w:w="813" w:type="dxa"/>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62C37C20"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t</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007DCA45"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Sig.</w:t>
            </w:r>
          </w:p>
        </w:tc>
      </w:tr>
      <w:tr w:rsidR="007C3C4B" w:rsidRPr="002A63BA" w14:paraId="73D42702" w14:textId="77777777" w:rsidTr="007C3C4B">
        <w:trPr>
          <w:jc w:val="center"/>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545DA81E"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28076995"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B</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3F6A3512"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Std. Error</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bottom"/>
            <w:hideMark/>
          </w:tcPr>
          <w:p w14:paraId="6882D95D" w14:textId="77777777" w:rsidR="007C3C4B" w:rsidRPr="002A63BA" w:rsidRDefault="007C3C4B" w:rsidP="00FF3EE4">
            <w:pPr>
              <w:spacing w:line="276" w:lineRule="auto"/>
              <w:jc w:val="center"/>
              <w:rPr>
                <w:rFonts w:ascii="Open Sans" w:hAnsi="Open Sans" w:cs="Open Sans"/>
              </w:rPr>
            </w:pPr>
            <w:r w:rsidRPr="002A63BA">
              <w:rPr>
                <w:rFonts w:ascii="Open Sans" w:hAnsi="Open Sans" w:cs="Open Sans"/>
              </w:rPr>
              <w:t>Beta</w:t>
            </w:r>
          </w:p>
        </w:tc>
        <w:tc>
          <w:tcPr>
            <w:tcW w:w="813" w:type="dxa"/>
            <w:vMerge/>
            <w:tcBorders>
              <w:top w:val="single" w:sz="4" w:space="0" w:color="000000"/>
              <w:left w:val="single" w:sz="4" w:space="0" w:color="000000"/>
              <w:bottom w:val="single" w:sz="4" w:space="0" w:color="000000"/>
              <w:right w:val="single" w:sz="4" w:space="0" w:color="000000"/>
            </w:tcBorders>
            <w:vAlign w:val="center"/>
            <w:hideMark/>
          </w:tcPr>
          <w:p w14:paraId="7ED9BF37" w14:textId="77777777" w:rsidR="007C3C4B" w:rsidRPr="002A63BA" w:rsidRDefault="007C3C4B" w:rsidP="00FF3EE4">
            <w:pPr>
              <w:spacing w:line="276" w:lineRule="auto"/>
              <w:rPr>
                <w:rFonts w:ascii="Open Sans" w:hAnsi="Open Sans" w:cs="Open San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89998B" w14:textId="77777777" w:rsidR="007C3C4B" w:rsidRPr="002A63BA" w:rsidRDefault="007C3C4B" w:rsidP="00FF3EE4">
            <w:pPr>
              <w:spacing w:line="276" w:lineRule="auto"/>
              <w:rPr>
                <w:rFonts w:ascii="Open Sans" w:hAnsi="Open Sans" w:cs="Open Sans"/>
              </w:rPr>
            </w:pPr>
          </w:p>
        </w:tc>
      </w:tr>
      <w:tr w:rsidR="007C3C4B" w:rsidRPr="002A63BA" w14:paraId="3DA09885" w14:textId="77777777" w:rsidTr="007C3C4B">
        <w:trPr>
          <w:jc w:val="center"/>
        </w:trPr>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2CE97CCE" w14:textId="77777777" w:rsidR="007C3C4B" w:rsidRPr="002A63BA" w:rsidRDefault="007C3C4B" w:rsidP="00FF3EE4">
            <w:pPr>
              <w:spacing w:line="276" w:lineRule="auto"/>
              <w:rPr>
                <w:rFonts w:ascii="Open Sans" w:hAnsi="Open Sans" w:cs="Open Sans"/>
              </w:rPr>
            </w:pPr>
            <w:r w:rsidRPr="002A63BA">
              <w:rPr>
                <w:rFonts w:ascii="Open Sans" w:hAnsi="Open Sans" w:cs="Open Sans"/>
              </w:rPr>
              <w:t>Stepwise linear regression</w:t>
            </w:r>
          </w:p>
          <w:p w14:paraId="1465A5CF" w14:textId="77777777" w:rsidR="007C3C4B" w:rsidRPr="002A63BA" w:rsidRDefault="007C3C4B" w:rsidP="00FF3EE4">
            <w:pPr>
              <w:spacing w:line="276" w:lineRule="auto"/>
              <w:rPr>
                <w:rFonts w:ascii="Open Sans" w:hAnsi="Open Sans" w:cs="Open Sans"/>
              </w:rPr>
            </w:pPr>
            <w:r w:rsidRPr="002A63BA">
              <w:rPr>
                <w:rFonts w:ascii="Open Sans" w:hAnsi="Open Sans" w:cs="Open Sans"/>
              </w:rPr>
              <w:t>R=0,900</w:t>
            </w:r>
          </w:p>
          <w:p w14:paraId="1A96A7CE" w14:textId="77777777" w:rsidR="007C3C4B" w:rsidRPr="002A63BA" w:rsidRDefault="007C3C4B" w:rsidP="00FF3EE4">
            <w:pPr>
              <w:spacing w:line="276" w:lineRule="auto"/>
              <w:rPr>
                <w:rFonts w:ascii="Open Sans" w:hAnsi="Open Sans" w:cs="Open Sans"/>
              </w:rPr>
            </w:pPr>
            <w:r w:rsidRPr="002A63BA">
              <w:rPr>
                <w:rFonts w:ascii="Open Sans" w:hAnsi="Open Sans" w:cs="Open Sans"/>
              </w:rPr>
              <w:t>R Square=0,811</w:t>
            </w: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20B046C1" w14:textId="77777777" w:rsidR="007C3C4B" w:rsidRPr="002A63BA" w:rsidRDefault="007C3C4B" w:rsidP="00FF3EE4">
            <w:pPr>
              <w:spacing w:line="276" w:lineRule="auto"/>
              <w:rPr>
                <w:rFonts w:ascii="Open Sans" w:hAnsi="Open Sans" w:cs="Open Sans"/>
              </w:rPr>
            </w:pPr>
            <w:r w:rsidRPr="002A63BA">
              <w:rPr>
                <w:rFonts w:ascii="Open Sans" w:hAnsi="Open Sans" w:cs="Open Sans"/>
              </w:rPr>
              <w:t>(Constant)</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597277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-1,822</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2D0DEE9"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,242</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20467B7" w14:textId="77777777" w:rsidR="007C3C4B" w:rsidRPr="002A63BA" w:rsidRDefault="007C3C4B" w:rsidP="00FF3EE4">
            <w:pPr>
              <w:spacing w:line="276" w:lineRule="auto"/>
              <w:rPr>
                <w:rFonts w:ascii="Open Sans" w:hAnsi="Open Sans" w:cs="Open Sans"/>
              </w:rPr>
            </w:pP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0B8D8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-7,515</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C40664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0A1C8CB4"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080147"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2F25EE44" w14:textId="77777777" w:rsidR="007C3C4B" w:rsidRPr="002A63BA" w:rsidRDefault="007C3C4B" w:rsidP="00FF3EE4">
            <w:pPr>
              <w:spacing w:line="276" w:lineRule="auto"/>
              <w:rPr>
                <w:rFonts w:ascii="Open Sans" w:hAnsi="Open Sans" w:cs="Open Sans"/>
              </w:rPr>
            </w:pPr>
            <w:r w:rsidRPr="002A63BA">
              <w:rPr>
                <w:rFonts w:ascii="Open Sans" w:hAnsi="Open Sans" w:cs="Open Sans"/>
              </w:rPr>
              <w:t>EE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D3268A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,204</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1E52F6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,059</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05925E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,194</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70F65C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3,462</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4C08E37"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,001</w:t>
            </w:r>
          </w:p>
        </w:tc>
      </w:tr>
      <w:tr w:rsidR="007C3C4B" w:rsidRPr="002A63BA" w14:paraId="485A82DB"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44E9C20"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56C83D15" w14:textId="77777777" w:rsidR="007C3C4B" w:rsidRPr="002A63BA" w:rsidRDefault="007C3C4B" w:rsidP="00FF3EE4">
            <w:pPr>
              <w:spacing w:line="276" w:lineRule="auto"/>
              <w:rPr>
                <w:rFonts w:ascii="Open Sans" w:hAnsi="Open Sans" w:cs="Open Sans"/>
              </w:rPr>
            </w:pPr>
            <w:r w:rsidRPr="002A63BA">
              <w:rPr>
                <w:rFonts w:ascii="Open Sans" w:hAnsi="Open Sans" w:cs="Open Sans"/>
              </w:rPr>
              <w:t>PA</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ADC3714"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,350</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D39DC0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,054</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FBB93C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,263</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A20DD7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6,446</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9DDAD9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5198C6B6"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5ADA28"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5F701F20" w14:textId="77777777" w:rsidR="007C3C4B" w:rsidRPr="002A63BA" w:rsidRDefault="007C3C4B" w:rsidP="00FF3EE4">
            <w:pPr>
              <w:spacing w:line="276" w:lineRule="auto"/>
              <w:rPr>
                <w:rFonts w:ascii="Open Sans" w:hAnsi="Open Sans" w:cs="Open Sans"/>
              </w:rPr>
            </w:pPr>
            <w:r w:rsidRPr="002A63BA">
              <w:rPr>
                <w:rFonts w:ascii="Open Sans" w:hAnsi="Open Sans" w:cs="Open Sans"/>
              </w:rPr>
              <w:t>PE</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B66EC5C"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,270</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686682D"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,050</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D576FC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,270</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E67C83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5,435</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E788BD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2E4DEC8A"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D0C22A2"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05999DFC" w14:textId="77777777" w:rsidR="007C3C4B" w:rsidRPr="002A63BA" w:rsidRDefault="007C3C4B" w:rsidP="00FF3EE4">
            <w:pPr>
              <w:spacing w:line="276" w:lineRule="auto"/>
              <w:rPr>
                <w:rFonts w:ascii="Open Sans" w:hAnsi="Open Sans" w:cs="Open Sans"/>
              </w:rPr>
            </w:pPr>
            <w:r w:rsidRPr="002A63BA">
              <w:rPr>
                <w:rFonts w:ascii="Open Sans" w:hAnsi="Open Sans" w:cs="Open Sans"/>
              </w:rPr>
              <w:t>SI</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14E8D35"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,263</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D8C2116"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,055</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3DE4C7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,199</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2294F38"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4,781</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5D1023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00A35F0D" w14:textId="77777777" w:rsidTr="007C3C4B">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7842B2" w14:textId="77777777" w:rsidR="007C3C4B" w:rsidRPr="002A63BA" w:rsidRDefault="007C3C4B" w:rsidP="00FF3EE4">
            <w:pPr>
              <w:spacing w:line="276" w:lineRule="auto"/>
              <w:rPr>
                <w:rFonts w:ascii="Open Sans" w:hAnsi="Open Sans" w:cs="Open San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hideMark/>
          </w:tcPr>
          <w:p w14:paraId="66A39B53" w14:textId="77777777" w:rsidR="007C3C4B" w:rsidRPr="002A63BA" w:rsidRDefault="007C3C4B" w:rsidP="00FF3EE4">
            <w:pPr>
              <w:spacing w:line="276" w:lineRule="auto"/>
              <w:rPr>
                <w:rFonts w:ascii="Open Sans" w:hAnsi="Open Sans" w:cs="Open Sans"/>
              </w:rPr>
            </w:pPr>
            <w:r w:rsidRPr="002A63BA">
              <w:rPr>
                <w:rFonts w:ascii="Open Sans" w:hAnsi="Open Sans" w:cs="Open Sans"/>
              </w:rPr>
              <w:t>PV</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D8AB850"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,207</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DCDA3E3"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,051</w:t>
            </w:r>
          </w:p>
        </w:tc>
        <w:tc>
          <w:tcPr>
            <w:tcW w:w="209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515189B"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,173</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55D9D51"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4,054</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369104E" w14:textId="77777777" w:rsidR="007C3C4B" w:rsidRPr="002A63BA" w:rsidRDefault="007C3C4B" w:rsidP="00FF3EE4">
            <w:pPr>
              <w:spacing w:line="276" w:lineRule="auto"/>
              <w:jc w:val="right"/>
              <w:rPr>
                <w:rFonts w:ascii="Open Sans" w:hAnsi="Open Sans" w:cs="Open Sans"/>
              </w:rPr>
            </w:pPr>
            <w:r w:rsidRPr="002A63BA">
              <w:rPr>
                <w:rFonts w:ascii="Open Sans" w:hAnsi="Open Sans" w:cs="Open Sans"/>
              </w:rPr>
              <w:t>,000</w:t>
            </w:r>
          </w:p>
        </w:tc>
      </w:tr>
      <w:tr w:rsidR="007C3C4B" w:rsidRPr="002A63BA" w14:paraId="181D761A" w14:textId="77777777" w:rsidTr="007C3C4B">
        <w:trPr>
          <w:jc w:val="center"/>
        </w:trPr>
        <w:tc>
          <w:tcPr>
            <w:tcW w:w="0" w:type="auto"/>
            <w:gridSpan w:val="7"/>
            <w:tcBorders>
              <w:top w:val="single" w:sz="4" w:space="0" w:color="000000"/>
              <w:left w:val="single" w:sz="4" w:space="0" w:color="000000"/>
              <w:bottom w:val="single" w:sz="4" w:space="0" w:color="000000"/>
              <w:right w:val="single" w:sz="4" w:space="0" w:color="000000"/>
            </w:tcBorders>
            <w:shd w:val="clear" w:color="auto" w:fill="FFFFFF"/>
            <w:hideMark/>
          </w:tcPr>
          <w:p w14:paraId="1682199E" w14:textId="77777777" w:rsidR="007C3C4B" w:rsidRPr="002A63BA" w:rsidRDefault="007C3C4B" w:rsidP="00FF3EE4">
            <w:pPr>
              <w:spacing w:line="276" w:lineRule="auto"/>
              <w:rPr>
                <w:rFonts w:ascii="Open Sans" w:hAnsi="Open Sans" w:cs="Open Sans"/>
              </w:rPr>
            </w:pPr>
            <w:r w:rsidRPr="002A63BA">
              <w:rPr>
                <w:rFonts w:ascii="Open Sans" w:hAnsi="Open Sans" w:cs="Open Sans"/>
              </w:rPr>
              <w:t>a. Dependent Variable: BI</w:t>
            </w:r>
          </w:p>
        </w:tc>
      </w:tr>
    </w:tbl>
    <w:p w14:paraId="3D488F29" w14:textId="77777777" w:rsidR="007C3C4B" w:rsidRPr="002A63BA" w:rsidRDefault="007C3C4B" w:rsidP="00FF3EE4">
      <w:pPr>
        <w:spacing w:line="276" w:lineRule="auto"/>
        <w:rPr>
          <w:rFonts w:ascii="Open Sans" w:hAnsi="Open Sans" w:cs="Open Sans"/>
        </w:rPr>
      </w:pPr>
    </w:p>
    <w:p w14:paraId="23A8F392" w14:textId="77777777" w:rsidR="007C3C4B" w:rsidRPr="002A63BA" w:rsidRDefault="007C3C4B" w:rsidP="00FF3EE4">
      <w:pPr>
        <w:pStyle w:val="Tijeloteksta"/>
        <w:spacing w:before="1" w:line="276" w:lineRule="auto"/>
        <w:ind w:right="4"/>
        <w:rPr>
          <w:rFonts w:ascii="Open Sans" w:hAnsi="Open Sans" w:cs="Open Sans"/>
        </w:rPr>
      </w:pPr>
      <w:r w:rsidRPr="002A63BA">
        <w:rPr>
          <w:rFonts w:ascii="Open Sans" w:hAnsi="Open Sans" w:cs="Open Sans"/>
        </w:rPr>
        <w:t xml:space="preserve">It can be concluded that five constructs (effort expectancy, physical activity, performance expectancy, social influence, price value) </w:t>
      </w:r>
      <w:r w:rsidRPr="002A63BA">
        <w:rPr>
          <w:rFonts w:ascii="Open Sans" w:hAnsi="Open Sans" w:cs="Open Sans"/>
          <w:i/>
        </w:rPr>
        <w:t>have a significant impact on behavioral intention</w:t>
      </w:r>
      <w:r w:rsidRPr="002A63BA">
        <w:rPr>
          <w:rFonts w:ascii="Open Sans" w:hAnsi="Open Sans" w:cs="Open Sans"/>
        </w:rPr>
        <w:t xml:space="preserve">. However, </w:t>
      </w:r>
      <w:r w:rsidRPr="002A63BA">
        <w:rPr>
          <w:rFonts w:ascii="Open Sans" w:hAnsi="Open Sans" w:cs="Open Sans"/>
          <w:i/>
        </w:rPr>
        <w:t>variables perceived risk and environmental awareness are not statistically significant predictors of bihevioral intention</w:t>
      </w:r>
      <w:r w:rsidRPr="002A63BA">
        <w:rPr>
          <w:rFonts w:ascii="Open Sans" w:hAnsi="Open Sans" w:cs="Open Sans"/>
        </w:rPr>
        <w:t>. Since the results of stepwise linear regression coincide with the results of enter linear regression, the interpretation of only the enter linear regression model will be presented below.</w:t>
      </w:r>
    </w:p>
    <w:p w14:paraId="2394F7C4" w14:textId="77777777" w:rsidR="007C3C4B" w:rsidRPr="002A63BA" w:rsidRDefault="007C3C4B" w:rsidP="00FF3EE4">
      <w:pPr>
        <w:spacing w:line="276" w:lineRule="auto"/>
        <w:rPr>
          <w:rFonts w:ascii="Open Sans" w:hAnsi="Open Sans" w:cs="Open Sans"/>
        </w:rPr>
      </w:pPr>
      <w:r w:rsidRPr="002A63BA">
        <w:rPr>
          <w:rFonts w:ascii="Open Sans" w:hAnsi="Open Sans" w:cs="Open Sans"/>
        </w:rPr>
        <w:t xml:space="preserve">The performance expectancy has a significant and positive impact on the behavioral intention to use the Nextbike system confirming hypothesis H1 (significance level &lt;.001 and a standardized beta coefficient of 0.269). The effort expectancy with a significance level of 0.001 and a standardized beta coefficient of 0.181 positively affects the behavioral intention to use the Nextbike system by users, which confirms hypothesis H2. The social influence has a significance level of &lt;.001 and a beta coefficient of 0.209. Therefore, it also has a statistically significant and positive impact on the intended use, as evidenced by the H3 hypothesis. The price value with a significance level of 0.001 and a standardized beta coefficient of 0.151 has a significant and positive impact on the intended use of the Nextbike system, which confirms hypothesis H5. A construct that does not reach </w:t>
      </w:r>
      <w:r w:rsidRPr="002A63BA">
        <w:rPr>
          <w:rFonts w:ascii="Open Sans" w:hAnsi="Open Sans" w:cs="Open Sans"/>
        </w:rPr>
        <w:lastRenderedPageBreak/>
        <w:t>the required level of significance is a perceived risk which indicates a predominantly negative user perception. Although the significance of perceived risk is 0.062 and is not considered a statistically significant influence on the purpose of the behaviour its impact is negative with a standardized beta coefficient of -0.061, therefore, hypothesis H6 cannot be accepted. Another statistically negligible construct is environmental awareness. The level of significance of this construct is 0.386, and the standardized beta coefficient is 0.032. In both cases, the structure of the answers to the questions is extremely polarizing, with over 90% of respondents expressing a level of agreement with the claims. Therefore, environmental awareness has an extremely small impact on the intended use of users, and hypothesis H7 is also rejected. Finally, physical activity also positively affects behavioral intention with a significance level of &lt;.001 and a standardized beta coefficient of 0.259, confirming the H8 hypothesis.</w:t>
      </w:r>
    </w:p>
    <w:p w14:paraId="24F1D7DF" w14:textId="77777777" w:rsidR="007C3C4B" w:rsidRPr="002A63BA" w:rsidRDefault="007C3C4B" w:rsidP="00FF3EE4">
      <w:pPr>
        <w:spacing w:line="276" w:lineRule="auto"/>
        <w:rPr>
          <w:rFonts w:ascii="Open Sans" w:hAnsi="Open Sans" w:cs="Open Sans"/>
        </w:rPr>
      </w:pPr>
    </w:p>
    <w:p w14:paraId="6CF34C4B" w14:textId="77777777" w:rsidR="007C3C4B" w:rsidRPr="002A63BA" w:rsidRDefault="007C3C4B" w:rsidP="00FF3EE4">
      <w:pPr>
        <w:spacing w:line="276" w:lineRule="auto"/>
        <w:rPr>
          <w:rFonts w:ascii="Open Sans" w:hAnsi="Open Sans" w:cs="Open Sans"/>
        </w:rPr>
      </w:pPr>
      <w:r w:rsidRPr="002A63BA">
        <w:rPr>
          <w:rFonts w:ascii="Open Sans" w:hAnsi="Open Sans" w:cs="Open Sans"/>
        </w:rPr>
        <w:t xml:space="preserve">The second model tests the effects of the facilitating conditions and behavioral intention on use behavior. Usage was examined by asking the question, </w:t>
      </w:r>
      <w:r w:rsidRPr="002A63BA">
        <w:rPr>
          <w:rFonts w:ascii="Open Sans" w:hAnsi="Open Sans" w:cs="Open Sans"/>
          <w:i/>
        </w:rPr>
        <w:t>How often do you use the Nextbike system</w:t>
      </w:r>
      <w:r w:rsidRPr="002A63BA">
        <w:rPr>
          <w:rFonts w:ascii="Open Sans" w:hAnsi="Open Sans" w:cs="Open Sans"/>
        </w:rPr>
        <w:t>.</w:t>
      </w:r>
    </w:p>
    <w:p w14:paraId="4CC2C19F" w14:textId="77777777" w:rsidR="007C3C4B" w:rsidRPr="002A63BA" w:rsidRDefault="007C3C4B" w:rsidP="00FF3EE4">
      <w:pPr>
        <w:spacing w:line="276" w:lineRule="auto"/>
        <w:rPr>
          <w:rFonts w:ascii="Open Sans" w:hAnsi="Open Sans" w:cs="Open Sans"/>
        </w:rPr>
      </w:pPr>
    </w:p>
    <w:p w14:paraId="668ACBA6" w14:textId="77777777" w:rsidR="007C3C4B" w:rsidRPr="002A63BA" w:rsidRDefault="007C3C4B" w:rsidP="00FF3EE4">
      <w:pPr>
        <w:spacing w:line="276" w:lineRule="auto"/>
        <w:rPr>
          <w:rFonts w:ascii="Open Sans" w:hAnsi="Open Sans" w:cs="Open Sans"/>
        </w:rPr>
      </w:pPr>
      <w:r w:rsidRPr="002A63BA">
        <w:rPr>
          <w:rFonts w:ascii="Open Sans" w:hAnsi="Open Sans" w:cs="Open Sans"/>
        </w:rPr>
        <w:t>Table 6. Stepwise linear regression in 5th step for dependent variable behavioral intention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666"/>
        <w:gridCol w:w="1065"/>
        <w:gridCol w:w="732"/>
        <w:gridCol w:w="1248"/>
        <w:gridCol w:w="1701"/>
        <w:gridCol w:w="571"/>
        <w:gridCol w:w="445"/>
      </w:tblGrid>
      <w:tr w:rsidR="007C3C4B" w:rsidRPr="002A63BA" w14:paraId="03211C43" w14:textId="77777777" w:rsidTr="00A06A62">
        <w:trPr>
          <w:cantSplit/>
          <w:jc w:val="center"/>
        </w:trPr>
        <w:tc>
          <w:tcPr>
            <w:tcW w:w="0" w:type="auto"/>
            <w:gridSpan w:val="7"/>
            <w:shd w:val="clear" w:color="auto" w:fill="FFFFFF"/>
            <w:vAlign w:val="center"/>
          </w:tcPr>
          <w:p w14:paraId="75B385CE"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b/>
                <w:bCs/>
              </w:rPr>
              <w:t xml:space="preserve">Coefficients </w:t>
            </w:r>
            <w:r w:rsidRPr="002A63BA">
              <w:rPr>
                <w:rFonts w:ascii="Open Sans" w:hAnsi="Open Sans" w:cs="Open Sans"/>
                <w:b/>
                <w:bCs/>
                <w:vertAlign w:val="superscript"/>
              </w:rPr>
              <w:t>a</w:t>
            </w:r>
          </w:p>
        </w:tc>
      </w:tr>
      <w:tr w:rsidR="007C3C4B" w:rsidRPr="002A63BA" w14:paraId="2DD20179" w14:textId="77777777" w:rsidTr="00A06A62">
        <w:trPr>
          <w:cantSplit/>
          <w:jc w:val="center"/>
        </w:trPr>
        <w:tc>
          <w:tcPr>
            <w:tcW w:w="0" w:type="auto"/>
            <w:gridSpan w:val="2"/>
            <w:vMerge w:val="restart"/>
            <w:shd w:val="clear" w:color="auto" w:fill="FFFFFF"/>
            <w:vAlign w:val="bottom"/>
          </w:tcPr>
          <w:p w14:paraId="2845E386"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Model</w:t>
            </w:r>
          </w:p>
        </w:tc>
        <w:tc>
          <w:tcPr>
            <w:tcW w:w="0" w:type="auto"/>
            <w:gridSpan w:val="2"/>
            <w:shd w:val="clear" w:color="auto" w:fill="FFFFFF"/>
            <w:vAlign w:val="bottom"/>
          </w:tcPr>
          <w:p w14:paraId="1C365377"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Unstandardized Coefficients</w:t>
            </w:r>
          </w:p>
        </w:tc>
        <w:tc>
          <w:tcPr>
            <w:tcW w:w="0" w:type="auto"/>
            <w:shd w:val="clear" w:color="auto" w:fill="FFFFFF"/>
            <w:vAlign w:val="bottom"/>
          </w:tcPr>
          <w:p w14:paraId="6B2CC728"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Standardized Coefficients</w:t>
            </w:r>
          </w:p>
        </w:tc>
        <w:tc>
          <w:tcPr>
            <w:tcW w:w="0" w:type="auto"/>
            <w:vMerge w:val="restart"/>
            <w:shd w:val="clear" w:color="auto" w:fill="FFFFFF"/>
            <w:vAlign w:val="bottom"/>
          </w:tcPr>
          <w:p w14:paraId="2FE13BF3"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t</w:t>
            </w:r>
          </w:p>
        </w:tc>
        <w:tc>
          <w:tcPr>
            <w:tcW w:w="0" w:type="auto"/>
            <w:vMerge w:val="restart"/>
            <w:shd w:val="clear" w:color="auto" w:fill="FFFFFF"/>
            <w:vAlign w:val="bottom"/>
          </w:tcPr>
          <w:p w14:paraId="6EC59AD6"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Sig.</w:t>
            </w:r>
          </w:p>
        </w:tc>
      </w:tr>
      <w:tr w:rsidR="007C3C4B" w:rsidRPr="002A63BA" w14:paraId="7CC812D7" w14:textId="77777777" w:rsidTr="00A06A62">
        <w:trPr>
          <w:cantSplit/>
          <w:jc w:val="center"/>
        </w:trPr>
        <w:tc>
          <w:tcPr>
            <w:tcW w:w="0" w:type="auto"/>
            <w:gridSpan w:val="2"/>
            <w:vMerge/>
            <w:shd w:val="clear" w:color="auto" w:fill="FFFFFF"/>
            <w:vAlign w:val="bottom"/>
          </w:tcPr>
          <w:p w14:paraId="6C8F5100" w14:textId="77777777" w:rsidR="007C3C4B" w:rsidRPr="002A63BA" w:rsidRDefault="007C3C4B" w:rsidP="00FF3EE4">
            <w:pPr>
              <w:adjustRightInd w:val="0"/>
              <w:spacing w:line="276" w:lineRule="auto"/>
              <w:rPr>
                <w:rFonts w:ascii="Open Sans" w:hAnsi="Open Sans" w:cs="Open Sans"/>
              </w:rPr>
            </w:pPr>
          </w:p>
        </w:tc>
        <w:tc>
          <w:tcPr>
            <w:tcW w:w="0" w:type="auto"/>
            <w:shd w:val="clear" w:color="auto" w:fill="FFFFFF"/>
            <w:vAlign w:val="bottom"/>
          </w:tcPr>
          <w:p w14:paraId="5123693B"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B</w:t>
            </w:r>
          </w:p>
        </w:tc>
        <w:tc>
          <w:tcPr>
            <w:tcW w:w="0" w:type="auto"/>
            <w:shd w:val="clear" w:color="auto" w:fill="FFFFFF"/>
            <w:vAlign w:val="bottom"/>
          </w:tcPr>
          <w:p w14:paraId="5688DC91"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Std. Error</w:t>
            </w:r>
          </w:p>
        </w:tc>
        <w:tc>
          <w:tcPr>
            <w:tcW w:w="0" w:type="auto"/>
            <w:shd w:val="clear" w:color="auto" w:fill="FFFFFF"/>
            <w:vAlign w:val="bottom"/>
          </w:tcPr>
          <w:p w14:paraId="5B82823D" w14:textId="77777777" w:rsidR="007C3C4B" w:rsidRPr="002A63BA" w:rsidRDefault="007C3C4B" w:rsidP="00FF3EE4">
            <w:pPr>
              <w:adjustRightInd w:val="0"/>
              <w:spacing w:line="276" w:lineRule="auto"/>
              <w:jc w:val="center"/>
              <w:rPr>
                <w:rFonts w:ascii="Open Sans" w:hAnsi="Open Sans" w:cs="Open Sans"/>
              </w:rPr>
            </w:pPr>
            <w:r w:rsidRPr="002A63BA">
              <w:rPr>
                <w:rFonts w:ascii="Open Sans" w:hAnsi="Open Sans" w:cs="Open Sans"/>
              </w:rPr>
              <w:t>Beta</w:t>
            </w:r>
          </w:p>
        </w:tc>
        <w:tc>
          <w:tcPr>
            <w:tcW w:w="0" w:type="auto"/>
            <w:vMerge/>
            <w:shd w:val="clear" w:color="auto" w:fill="FFFFFF"/>
            <w:vAlign w:val="bottom"/>
          </w:tcPr>
          <w:p w14:paraId="38CB36A7" w14:textId="77777777" w:rsidR="007C3C4B" w:rsidRPr="002A63BA" w:rsidRDefault="007C3C4B" w:rsidP="00FF3EE4">
            <w:pPr>
              <w:adjustRightInd w:val="0"/>
              <w:spacing w:line="276" w:lineRule="auto"/>
              <w:rPr>
                <w:rFonts w:ascii="Open Sans" w:hAnsi="Open Sans" w:cs="Open Sans"/>
              </w:rPr>
            </w:pPr>
          </w:p>
        </w:tc>
        <w:tc>
          <w:tcPr>
            <w:tcW w:w="0" w:type="auto"/>
            <w:vMerge/>
            <w:shd w:val="clear" w:color="auto" w:fill="FFFFFF"/>
            <w:vAlign w:val="bottom"/>
          </w:tcPr>
          <w:p w14:paraId="66FC6BFF" w14:textId="77777777" w:rsidR="007C3C4B" w:rsidRPr="002A63BA" w:rsidRDefault="007C3C4B" w:rsidP="00FF3EE4">
            <w:pPr>
              <w:adjustRightInd w:val="0"/>
              <w:spacing w:line="276" w:lineRule="auto"/>
              <w:rPr>
                <w:rFonts w:ascii="Open Sans" w:hAnsi="Open Sans" w:cs="Open Sans"/>
              </w:rPr>
            </w:pPr>
          </w:p>
        </w:tc>
      </w:tr>
      <w:tr w:rsidR="007C3C4B" w:rsidRPr="002A63BA" w14:paraId="225DF278" w14:textId="77777777" w:rsidTr="00A06A62">
        <w:trPr>
          <w:cantSplit/>
          <w:jc w:val="center"/>
        </w:trPr>
        <w:tc>
          <w:tcPr>
            <w:tcW w:w="0" w:type="auto"/>
            <w:vMerge w:val="restart"/>
            <w:shd w:val="clear" w:color="auto" w:fill="auto"/>
          </w:tcPr>
          <w:p w14:paraId="2287AFF4"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Enter linear regression</w:t>
            </w:r>
          </w:p>
          <w:p w14:paraId="4A75E23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lastRenderedPageBreak/>
              <w:t>R=0.702</w:t>
            </w:r>
          </w:p>
          <w:p w14:paraId="2773D86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R Square=0.493</w:t>
            </w:r>
          </w:p>
        </w:tc>
        <w:tc>
          <w:tcPr>
            <w:tcW w:w="0" w:type="auto"/>
            <w:shd w:val="clear" w:color="auto" w:fill="auto"/>
          </w:tcPr>
          <w:p w14:paraId="2242D140"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lastRenderedPageBreak/>
              <w:t>(Constant)</w:t>
            </w:r>
          </w:p>
        </w:tc>
        <w:tc>
          <w:tcPr>
            <w:tcW w:w="0" w:type="auto"/>
            <w:shd w:val="clear" w:color="auto" w:fill="auto"/>
            <w:vAlign w:val="center"/>
          </w:tcPr>
          <w:p w14:paraId="78623D31"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,000</w:t>
            </w:r>
          </w:p>
        </w:tc>
        <w:tc>
          <w:tcPr>
            <w:tcW w:w="0" w:type="auto"/>
            <w:shd w:val="clear" w:color="auto" w:fill="auto"/>
            <w:vAlign w:val="center"/>
          </w:tcPr>
          <w:p w14:paraId="6BD282CD"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,188</w:t>
            </w:r>
          </w:p>
        </w:tc>
        <w:tc>
          <w:tcPr>
            <w:tcW w:w="0" w:type="auto"/>
            <w:shd w:val="clear" w:color="auto" w:fill="auto"/>
            <w:vAlign w:val="center"/>
          </w:tcPr>
          <w:p w14:paraId="05F0D203" w14:textId="77777777" w:rsidR="007C3C4B" w:rsidRPr="002A63BA" w:rsidRDefault="007C3C4B" w:rsidP="00FF3EE4">
            <w:pPr>
              <w:adjustRightInd w:val="0"/>
              <w:spacing w:line="276" w:lineRule="auto"/>
              <w:rPr>
                <w:rFonts w:ascii="Open Sans" w:hAnsi="Open Sans" w:cs="Open Sans"/>
              </w:rPr>
            </w:pPr>
          </w:p>
        </w:tc>
        <w:tc>
          <w:tcPr>
            <w:tcW w:w="0" w:type="auto"/>
            <w:shd w:val="clear" w:color="auto" w:fill="auto"/>
            <w:vAlign w:val="center"/>
          </w:tcPr>
          <w:p w14:paraId="02B560FC"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-,001</w:t>
            </w:r>
          </w:p>
        </w:tc>
        <w:tc>
          <w:tcPr>
            <w:tcW w:w="0" w:type="auto"/>
            <w:shd w:val="clear" w:color="auto" w:fill="auto"/>
            <w:vAlign w:val="center"/>
          </w:tcPr>
          <w:p w14:paraId="03565740"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,999</w:t>
            </w:r>
          </w:p>
        </w:tc>
      </w:tr>
      <w:tr w:rsidR="007C3C4B" w:rsidRPr="002A63BA" w14:paraId="2CCA1DF6" w14:textId="77777777" w:rsidTr="00A06A62">
        <w:trPr>
          <w:cantSplit/>
          <w:jc w:val="center"/>
        </w:trPr>
        <w:tc>
          <w:tcPr>
            <w:tcW w:w="0" w:type="auto"/>
            <w:vMerge/>
            <w:shd w:val="clear" w:color="auto" w:fill="auto"/>
          </w:tcPr>
          <w:p w14:paraId="092BA341" w14:textId="77777777" w:rsidR="007C3C4B" w:rsidRPr="002A63BA" w:rsidRDefault="007C3C4B" w:rsidP="00FF3EE4">
            <w:pPr>
              <w:adjustRightInd w:val="0"/>
              <w:spacing w:line="276" w:lineRule="auto"/>
              <w:rPr>
                <w:rFonts w:ascii="Open Sans" w:hAnsi="Open Sans" w:cs="Open Sans"/>
              </w:rPr>
            </w:pPr>
          </w:p>
        </w:tc>
        <w:tc>
          <w:tcPr>
            <w:tcW w:w="0" w:type="auto"/>
            <w:shd w:val="clear" w:color="auto" w:fill="auto"/>
          </w:tcPr>
          <w:p w14:paraId="6A22ABA5"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FC</w:t>
            </w:r>
          </w:p>
        </w:tc>
        <w:tc>
          <w:tcPr>
            <w:tcW w:w="0" w:type="auto"/>
            <w:shd w:val="clear" w:color="auto" w:fill="auto"/>
            <w:vAlign w:val="center"/>
          </w:tcPr>
          <w:p w14:paraId="4F1FD5E2"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,055</w:t>
            </w:r>
          </w:p>
        </w:tc>
        <w:tc>
          <w:tcPr>
            <w:tcW w:w="0" w:type="auto"/>
            <w:shd w:val="clear" w:color="auto" w:fill="auto"/>
            <w:vAlign w:val="center"/>
          </w:tcPr>
          <w:p w14:paraId="135D27B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,062</w:t>
            </w:r>
          </w:p>
        </w:tc>
        <w:tc>
          <w:tcPr>
            <w:tcW w:w="0" w:type="auto"/>
            <w:shd w:val="clear" w:color="auto" w:fill="auto"/>
            <w:vAlign w:val="center"/>
          </w:tcPr>
          <w:p w14:paraId="77C8EDB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,069</w:t>
            </w:r>
          </w:p>
        </w:tc>
        <w:tc>
          <w:tcPr>
            <w:tcW w:w="0" w:type="auto"/>
            <w:shd w:val="clear" w:color="auto" w:fill="auto"/>
            <w:vAlign w:val="center"/>
          </w:tcPr>
          <w:p w14:paraId="72558B8E"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,886</w:t>
            </w:r>
          </w:p>
        </w:tc>
        <w:tc>
          <w:tcPr>
            <w:tcW w:w="0" w:type="auto"/>
            <w:shd w:val="clear" w:color="auto" w:fill="auto"/>
            <w:vAlign w:val="center"/>
          </w:tcPr>
          <w:p w14:paraId="56D7B867"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,377</w:t>
            </w:r>
          </w:p>
        </w:tc>
      </w:tr>
      <w:tr w:rsidR="007C3C4B" w:rsidRPr="002A63BA" w14:paraId="0333DFD5" w14:textId="77777777" w:rsidTr="00A06A62">
        <w:trPr>
          <w:cantSplit/>
          <w:jc w:val="center"/>
        </w:trPr>
        <w:tc>
          <w:tcPr>
            <w:tcW w:w="0" w:type="auto"/>
            <w:vMerge/>
            <w:shd w:val="clear" w:color="auto" w:fill="FFFFFF"/>
          </w:tcPr>
          <w:p w14:paraId="60EC3856" w14:textId="77777777" w:rsidR="007C3C4B" w:rsidRPr="002A63BA" w:rsidRDefault="007C3C4B" w:rsidP="00FF3EE4">
            <w:pPr>
              <w:adjustRightInd w:val="0"/>
              <w:spacing w:line="276" w:lineRule="auto"/>
              <w:rPr>
                <w:rFonts w:ascii="Open Sans" w:hAnsi="Open Sans" w:cs="Open Sans"/>
              </w:rPr>
            </w:pPr>
          </w:p>
        </w:tc>
        <w:tc>
          <w:tcPr>
            <w:tcW w:w="0" w:type="auto"/>
            <w:shd w:val="clear" w:color="auto" w:fill="FFFFFF"/>
          </w:tcPr>
          <w:p w14:paraId="613A3081"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BI</w:t>
            </w:r>
          </w:p>
        </w:tc>
        <w:tc>
          <w:tcPr>
            <w:tcW w:w="0" w:type="auto"/>
            <w:shd w:val="clear" w:color="auto" w:fill="FFFFFF"/>
            <w:vAlign w:val="center"/>
          </w:tcPr>
          <w:p w14:paraId="1063A8F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,432</w:t>
            </w:r>
          </w:p>
        </w:tc>
        <w:tc>
          <w:tcPr>
            <w:tcW w:w="0" w:type="auto"/>
            <w:shd w:val="clear" w:color="auto" w:fill="FFFFFF"/>
            <w:vAlign w:val="center"/>
          </w:tcPr>
          <w:p w14:paraId="5A55FF58"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,052</w:t>
            </w:r>
          </w:p>
        </w:tc>
        <w:tc>
          <w:tcPr>
            <w:tcW w:w="0" w:type="auto"/>
            <w:shd w:val="clear" w:color="auto" w:fill="FFFFFF"/>
            <w:vAlign w:val="center"/>
          </w:tcPr>
          <w:p w14:paraId="3031B739"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,648</w:t>
            </w:r>
          </w:p>
        </w:tc>
        <w:tc>
          <w:tcPr>
            <w:tcW w:w="0" w:type="auto"/>
            <w:shd w:val="clear" w:color="auto" w:fill="FFFFFF"/>
            <w:vAlign w:val="center"/>
          </w:tcPr>
          <w:p w14:paraId="7E4EE0E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 xml:space="preserve">8,297 </w:t>
            </w:r>
          </w:p>
        </w:tc>
        <w:tc>
          <w:tcPr>
            <w:tcW w:w="0" w:type="auto"/>
            <w:shd w:val="clear" w:color="auto" w:fill="FFFFFF"/>
            <w:vAlign w:val="center"/>
          </w:tcPr>
          <w:p w14:paraId="33168D34" w14:textId="77777777" w:rsidR="007C3C4B" w:rsidRPr="002A63BA" w:rsidRDefault="007C3C4B" w:rsidP="00FF3EE4">
            <w:pPr>
              <w:adjustRightInd w:val="0"/>
              <w:spacing w:line="276" w:lineRule="auto"/>
              <w:jc w:val="right"/>
              <w:rPr>
                <w:rFonts w:ascii="Open Sans" w:hAnsi="Open Sans" w:cs="Open Sans"/>
              </w:rPr>
            </w:pPr>
            <w:r w:rsidRPr="002A63BA">
              <w:rPr>
                <w:rFonts w:ascii="Open Sans" w:hAnsi="Open Sans" w:cs="Open Sans"/>
              </w:rPr>
              <w:t>,000</w:t>
            </w:r>
          </w:p>
        </w:tc>
      </w:tr>
      <w:tr w:rsidR="007C3C4B" w:rsidRPr="002A63BA" w14:paraId="497948A4" w14:textId="77777777" w:rsidTr="00A06A62">
        <w:trPr>
          <w:cantSplit/>
          <w:jc w:val="center"/>
        </w:trPr>
        <w:tc>
          <w:tcPr>
            <w:tcW w:w="0" w:type="auto"/>
            <w:gridSpan w:val="7"/>
            <w:shd w:val="clear" w:color="auto" w:fill="FFFFFF"/>
          </w:tcPr>
          <w:p w14:paraId="781E9CFB"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a. Dependent Variable: How often do you use the next-bike system?</w:t>
            </w:r>
          </w:p>
        </w:tc>
      </w:tr>
    </w:tbl>
    <w:p w14:paraId="4CE484EF" w14:textId="77777777" w:rsidR="007C3C4B" w:rsidRPr="002A63BA" w:rsidRDefault="007C3C4B" w:rsidP="00FF3EE4">
      <w:pPr>
        <w:adjustRightInd w:val="0"/>
        <w:spacing w:line="276" w:lineRule="auto"/>
        <w:rPr>
          <w:rFonts w:ascii="Open Sans" w:hAnsi="Open Sans" w:cs="Open Sans"/>
        </w:rPr>
      </w:pPr>
    </w:p>
    <w:p w14:paraId="44EFDCF1" w14:textId="3611B487" w:rsidR="007C3C4B" w:rsidRPr="002A63BA" w:rsidRDefault="007C3C4B" w:rsidP="00A06A62">
      <w:pPr>
        <w:pStyle w:val="Tijeloteksta"/>
        <w:spacing w:before="72" w:line="276" w:lineRule="auto"/>
        <w:rPr>
          <w:rFonts w:ascii="Open Sans" w:hAnsi="Open Sans" w:cs="Open Sans"/>
        </w:rPr>
      </w:pPr>
      <w:r w:rsidRPr="002A63BA">
        <w:rPr>
          <w:rFonts w:ascii="Open Sans" w:hAnsi="Open Sans" w:cs="Open Sans"/>
        </w:rPr>
        <w:t>The R-value is 0.702, which satisfies the condition that the value is greater than 0.4. However, the R2 value does not meet the condition that the value is greater than 0.5. This means that the model is not very effective in predicting the relationships between independent and dependent variables, although a value of 0.493 is relatively close to a satisfactory level. The facilitating conditions do not have a significant impact on the use of technology, with a beta coefficient of 0.069 and a significance level of 0.377, thus rejecting hypothesis H4. Therefore, the facilitating conditions construct has been dropped from the model, and behavioral intention remains the only factor that has a significant impact on the use of technology, which confirms hypothesis H9.</w:t>
      </w:r>
    </w:p>
    <w:p w14:paraId="40FBD228" w14:textId="77777777" w:rsidR="007C3C4B" w:rsidRPr="002A63BA" w:rsidRDefault="007C3C4B" w:rsidP="00A06A62">
      <w:pPr>
        <w:pStyle w:val="N1"/>
      </w:pPr>
      <w:r w:rsidRPr="002A63BA">
        <w:t>Conclusion</w:t>
      </w:r>
    </w:p>
    <w:p w14:paraId="17BA22BF" w14:textId="77777777" w:rsidR="007C3C4B" w:rsidRPr="002A63BA" w:rsidRDefault="007C3C4B" w:rsidP="00FF3EE4">
      <w:pPr>
        <w:adjustRightInd w:val="0"/>
        <w:spacing w:line="276" w:lineRule="auto"/>
        <w:rPr>
          <w:rFonts w:ascii="Open Sans" w:hAnsi="Open Sans" w:cs="Open Sans"/>
        </w:rPr>
      </w:pPr>
      <w:r w:rsidRPr="002A63BA">
        <w:rPr>
          <w:rFonts w:ascii="Open Sans" w:hAnsi="Open Sans" w:cs="Open Sans"/>
        </w:rPr>
        <w:t xml:space="preserve">Research results show a </w:t>
      </w:r>
      <w:r w:rsidRPr="002A63BA">
        <w:rPr>
          <w:rFonts w:ascii="Open Sans" w:hAnsi="Open Sans" w:cs="Open Sans"/>
          <w:i/>
        </w:rPr>
        <w:t>significant and positive relationship between effort expectancy, physical activity, performance expectancy, social influence, and price value with behavioral intention to use Nextbike system.</w:t>
      </w:r>
      <w:r w:rsidRPr="002A63BA">
        <w:rPr>
          <w:rFonts w:ascii="Open Sans" w:hAnsi="Open Sans" w:cs="Open Sans"/>
        </w:rPr>
        <w:t xml:space="preserve"> Also, </w:t>
      </w:r>
      <w:r w:rsidRPr="002A63BA">
        <w:rPr>
          <w:rFonts w:ascii="Open Sans" w:hAnsi="Open Sans" w:cs="Open Sans"/>
          <w:i/>
        </w:rPr>
        <w:t>the relationship between behavioral intention to use and actual use of Nextbike system is significant and positive</w:t>
      </w:r>
      <w:r w:rsidRPr="002A63BA">
        <w:rPr>
          <w:rFonts w:ascii="Open Sans" w:hAnsi="Open Sans" w:cs="Open Sans"/>
        </w:rPr>
        <w:t xml:space="preserve">. Since its inception in the 1960s, PBSSs have been transformed into highly standardized and technologically equipped systems that compete with standard public transportation systems. The Nextbike project was implemented in Split in 2019; today has more than 24, 000 registered users and includes 300 bicycles deployed at 41 stations. Although cycling in the city of Split is quite underdeveloped and new, this </w:t>
      </w:r>
      <w:r w:rsidRPr="002A63BA">
        <w:rPr>
          <w:rFonts w:ascii="Open Sans" w:hAnsi="Open Sans" w:cs="Open Sans"/>
          <w:i/>
        </w:rPr>
        <w:t>project has been successfully implemented and accepted by a large number of residents</w:t>
      </w:r>
      <w:r w:rsidRPr="002A63BA">
        <w:rPr>
          <w:rFonts w:ascii="Open Sans" w:hAnsi="Open Sans" w:cs="Open Sans"/>
        </w:rPr>
        <w:t xml:space="preserve">. Using data transfer technologies attached to the concept of the IoT, Nextbike Split belongs to the category of smart and sustainable solutions. Furthermore, a </w:t>
      </w:r>
      <w:r w:rsidRPr="002A63BA">
        <w:rPr>
          <w:rFonts w:ascii="Open Sans" w:hAnsi="Open Sans" w:cs="Open Sans"/>
          <w:i/>
        </w:rPr>
        <w:lastRenderedPageBreak/>
        <w:t>sustainable concept should have a high impact on the formulation of urban development policies and strategies that promote constant economic and social progress</w:t>
      </w:r>
      <w:r w:rsidRPr="002A63BA">
        <w:rPr>
          <w:rFonts w:ascii="Open Sans" w:hAnsi="Open Sans" w:cs="Open Sans"/>
        </w:rPr>
        <w:t>. This research certainly contributes to</w:t>
      </w:r>
      <w:r w:rsidRPr="002A63BA">
        <w:rPr>
          <w:rFonts w:ascii="Open Sans" w:hAnsi="Open Sans" w:cs="Open Sans"/>
          <w:i/>
        </w:rPr>
        <w:t xml:space="preserve"> raising awareness and identifying the dominant factors influencing the intention to use this type of green and sustainable transport</w:t>
      </w:r>
      <w:r w:rsidRPr="002A63BA">
        <w:rPr>
          <w:rFonts w:ascii="Open Sans" w:hAnsi="Open Sans" w:cs="Open Sans"/>
        </w:rPr>
        <w:t xml:space="preserve">. </w:t>
      </w:r>
    </w:p>
    <w:p w14:paraId="5AD3C789" w14:textId="77777777" w:rsidR="007C3C4B" w:rsidRPr="002A63BA" w:rsidRDefault="007C3C4B" w:rsidP="00FF3EE4">
      <w:pPr>
        <w:pStyle w:val="HeadingUnnumbered"/>
        <w:spacing w:line="276" w:lineRule="auto"/>
        <w:rPr>
          <w:rFonts w:ascii="Open Sans" w:hAnsi="Open Sans" w:cs="Open Sans"/>
          <w:sz w:val="22"/>
          <w:szCs w:val="22"/>
          <w:lang w:val="en-GB"/>
        </w:rPr>
      </w:pPr>
      <w:r w:rsidRPr="002A63BA">
        <w:rPr>
          <w:rFonts w:ascii="Open Sans" w:hAnsi="Open Sans" w:cs="Open Sans"/>
          <w:sz w:val="22"/>
          <w:szCs w:val="22"/>
          <w:lang w:val="en-GB"/>
        </w:rPr>
        <w:t>Acknowledgments</w:t>
      </w:r>
    </w:p>
    <w:p w14:paraId="1074B079" w14:textId="366A7326" w:rsidR="007C3C4B" w:rsidRPr="009A0B86" w:rsidRDefault="007C3C4B" w:rsidP="009A0B86">
      <w:pPr>
        <w:pStyle w:val="BodyIndented"/>
        <w:spacing w:line="276" w:lineRule="auto"/>
        <w:ind w:firstLine="0"/>
        <w:rPr>
          <w:rFonts w:ascii="Open Sans" w:hAnsi="Open Sans" w:cs="Open Sans"/>
          <w:szCs w:val="22"/>
          <w:lang w:val="en-GB"/>
        </w:rPr>
      </w:pPr>
      <w:r w:rsidRPr="002A63BA">
        <w:rPr>
          <w:rFonts w:ascii="Open Sans" w:hAnsi="Open Sans" w:cs="Open Sans"/>
          <w:szCs w:val="22"/>
          <w:lang w:val="en-GB"/>
        </w:rPr>
        <w:t>This research was supported by the Croatian Science Foundation [grant number UIP-2017-05-7625].</w:t>
      </w:r>
    </w:p>
    <w:p w14:paraId="67A2CC19" w14:textId="77777777" w:rsidR="007C3C4B" w:rsidRPr="002A63BA" w:rsidRDefault="007C3C4B" w:rsidP="008F2C12">
      <w:pPr>
        <w:pStyle w:val="N1"/>
      </w:pPr>
      <w:r w:rsidRPr="002A63BA">
        <w:t>References</w:t>
      </w:r>
    </w:p>
    <w:p w14:paraId="6B7CD97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spacing w:val="2"/>
          <w:shd w:val="clear" w:color="auto" w:fill="FBFBFB"/>
        </w:rPr>
        <w:t xml:space="preserve">Alalwan </w:t>
      </w:r>
      <w:r w:rsidRPr="002A63BA">
        <w:rPr>
          <w:rFonts w:ascii="Open Sans" w:hAnsi="Open Sans" w:cs="Open Sans"/>
          <w:spacing w:val="3"/>
          <w:shd w:val="clear" w:color="auto" w:fill="FBFBFB"/>
        </w:rPr>
        <w:t xml:space="preserve">A. A., </w:t>
      </w:r>
      <w:r w:rsidRPr="002A63BA">
        <w:rPr>
          <w:rFonts w:ascii="Open Sans" w:hAnsi="Open Sans" w:cs="Open Sans"/>
          <w:spacing w:val="-3"/>
        </w:rPr>
        <w:t xml:space="preserve">Dwivedi, </w:t>
      </w:r>
      <w:r w:rsidRPr="002A63BA">
        <w:rPr>
          <w:rFonts w:ascii="Open Sans" w:hAnsi="Open Sans" w:cs="Open Sans"/>
        </w:rPr>
        <w:t xml:space="preserve">Y. K., Rana, N. P. (2017). Factors influencing adoption of mobile banking by Jordanian bank customers: Extending UTAUT2 with </w:t>
      </w:r>
      <w:r w:rsidRPr="002A63BA">
        <w:rPr>
          <w:rFonts w:ascii="Open Sans" w:hAnsi="Open Sans" w:cs="Open Sans"/>
          <w:spacing w:val="2"/>
        </w:rPr>
        <w:t xml:space="preserve">trust. </w:t>
      </w:r>
      <w:r w:rsidRPr="002A63BA">
        <w:rPr>
          <w:rFonts w:ascii="Open Sans" w:hAnsi="Open Sans" w:cs="Open Sans"/>
          <w:i/>
          <w:iCs/>
        </w:rPr>
        <w:t>International</w:t>
      </w:r>
      <w:r w:rsidRPr="002A63BA">
        <w:rPr>
          <w:rFonts w:ascii="Open Sans" w:hAnsi="Open Sans" w:cs="Open Sans"/>
          <w:i/>
          <w:iCs/>
          <w:spacing w:val="-42"/>
        </w:rPr>
        <w:t xml:space="preserve"> </w:t>
      </w:r>
      <w:r w:rsidRPr="002A63BA">
        <w:rPr>
          <w:rFonts w:ascii="Open Sans" w:hAnsi="Open Sans" w:cs="Open Sans"/>
          <w:i/>
          <w:iCs/>
        </w:rPr>
        <w:t>Journal of Information Management</w:t>
      </w:r>
      <w:r w:rsidRPr="002A63BA">
        <w:rPr>
          <w:rFonts w:ascii="Open Sans" w:hAnsi="Open Sans" w:cs="Open Sans"/>
        </w:rPr>
        <w:t xml:space="preserve">, </w:t>
      </w:r>
      <w:r w:rsidRPr="002A63BA">
        <w:rPr>
          <w:rFonts w:ascii="Open Sans" w:hAnsi="Open Sans" w:cs="Open Sans"/>
          <w:spacing w:val="-3"/>
        </w:rPr>
        <w:t xml:space="preserve">Volume </w:t>
      </w:r>
      <w:r w:rsidRPr="002A63BA">
        <w:rPr>
          <w:rFonts w:ascii="Open Sans" w:hAnsi="Open Sans" w:cs="Open Sans"/>
        </w:rPr>
        <w:t>37, Issue 3.</w:t>
      </w:r>
      <w:r w:rsidRPr="002A63BA">
        <w:rPr>
          <w:rFonts w:ascii="Open Sans" w:hAnsi="Open Sans" w:cs="Open Sans"/>
          <w:spacing w:val="-6"/>
        </w:rPr>
        <w:t xml:space="preserve"> </w:t>
      </w:r>
      <w:hyperlink r:id="rId102" w:tgtFrame="_blank" w:tooltip="Persistent link using digital object identifier" w:history="1">
        <w:r w:rsidRPr="002A63BA">
          <w:rPr>
            <w:rFonts w:ascii="Open Sans" w:hAnsi="Open Sans" w:cs="Open Sans"/>
            <w:spacing w:val="-6"/>
          </w:rPr>
          <w:t>doi: 10.1016/j.ijinfomgt.2017.01.002</w:t>
        </w:r>
      </w:hyperlink>
      <w:r w:rsidRPr="002A63BA">
        <w:rPr>
          <w:rFonts w:ascii="Open Sans" w:hAnsi="Open Sans" w:cs="Open Sans"/>
          <w:spacing w:val="-6"/>
        </w:rPr>
        <w:t>.</w:t>
      </w:r>
    </w:p>
    <w:p w14:paraId="2FB0544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Brčić, D., </w:t>
      </w:r>
      <w:r w:rsidRPr="002A63BA">
        <w:rPr>
          <w:rFonts w:ascii="Open Sans" w:hAnsi="Open Sans" w:cs="Open Sans"/>
          <w:spacing w:val="-3"/>
        </w:rPr>
        <w:t xml:space="preserve">Slavulj, </w:t>
      </w:r>
      <w:r w:rsidRPr="002A63BA">
        <w:rPr>
          <w:rFonts w:ascii="Open Sans" w:hAnsi="Open Sans" w:cs="Open Sans"/>
        </w:rPr>
        <w:t xml:space="preserve">M., Šojat, D., Jurak, J. (2018). The role of smart mobility </w:t>
      </w:r>
      <w:r w:rsidRPr="002A63BA">
        <w:rPr>
          <w:rFonts w:ascii="Open Sans" w:hAnsi="Open Sans" w:cs="Open Sans"/>
          <w:spacing w:val="-3"/>
        </w:rPr>
        <w:t xml:space="preserve">in </w:t>
      </w:r>
      <w:r w:rsidRPr="002A63BA">
        <w:rPr>
          <w:rFonts w:ascii="Open Sans" w:hAnsi="Open Sans" w:cs="Open Sans"/>
        </w:rPr>
        <w:t xml:space="preserve">smart cities. In </w:t>
      </w:r>
      <w:r w:rsidRPr="002A63BA">
        <w:rPr>
          <w:rFonts w:ascii="Open Sans" w:hAnsi="Open Sans" w:cs="Open Sans"/>
          <w:i/>
          <w:iCs/>
        </w:rPr>
        <w:t>Fifth International Conference on Road and Rail Infrastructure (CETRA 2018)</w:t>
      </w:r>
      <w:r w:rsidRPr="002A63BA">
        <w:rPr>
          <w:rFonts w:ascii="Open Sans" w:hAnsi="Open Sans" w:cs="Open Sans"/>
        </w:rPr>
        <w:t>. Available at:</w:t>
      </w:r>
      <w:r w:rsidRPr="002A63BA">
        <w:rPr>
          <w:rFonts w:ascii="Open Sans" w:hAnsi="Open Sans" w:cs="Open Sans"/>
          <w:spacing w:val="-1"/>
        </w:rPr>
        <w:t xml:space="preserve"> </w:t>
      </w:r>
      <w:hyperlink r:id="rId103">
        <w:r w:rsidRPr="002A63BA">
          <w:rPr>
            <w:rFonts w:ascii="Open Sans" w:hAnsi="Open Sans" w:cs="Open Sans"/>
            <w:u w:val="single" w:color="0462C1"/>
          </w:rPr>
          <w:t>https://www.bib.irb.hr/946193/download/946193.CETRA2018_1601-1606.pdf</w:t>
        </w:r>
      </w:hyperlink>
    </w:p>
    <w:p w14:paraId="1A9EB0F7"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Cheba, K., Saniuk, S. (2016). Sustainable urban transport – the concept of measurement </w:t>
      </w:r>
      <w:r w:rsidRPr="002A63BA">
        <w:rPr>
          <w:rFonts w:ascii="Open Sans" w:hAnsi="Open Sans" w:cs="Open Sans"/>
          <w:spacing w:val="-3"/>
        </w:rPr>
        <w:t xml:space="preserve">in </w:t>
      </w:r>
      <w:r w:rsidRPr="002A63BA">
        <w:rPr>
          <w:rFonts w:ascii="Open Sans" w:hAnsi="Open Sans" w:cs="Open Sans"/>
        </w:rPr>
        <w:t xml:space="preserve">the </w:t>
      </w:r>
      <w:r w:rsidRPr="002A63BA">
        <w:rPr>
          <w:rFonts w:ascii="Open Sans" w:hAnsi="Open Sans" w:cs="Open Sans"/>
          <w:spacing w:val="-3"/>
        </w:rPr>
        <w:t xml:space="preserve">field </w:t>
      </w:r>
      <w:r w:rsidRPr="002A63BA">
        <w:rPr>
          <w:rFonts w:ascii="Open Sans" w:hAnsi="Open Sans" w:cs="Open Sans"/>
        </w:rPr>
        <w:t xml:space="preserve">of city logistics. </w:t>
      </w:r>
      <w:r w:rsidRPr="002A63BA">
        <w:rPr>
          <w:rFonts w:ascii="Open Sans" w:hAnsi="Open Sans" w:cs="Open Sans"/>
          <w:i/>
          <w:iCs/>
        </w:rPr>
        <w:t>Transportation Research Proceedings</w:t>
      </w:r>
      <w:r w:rsidRPr="002A63BA">
        <w:rPr>
          <w:rFonts w:ascii="Open Sans" w:hAnsi="Open Sans" w:cs="Open Sans"/>
        </w:rPr>
        <w:t xml:space="preserve">, 16, pp. 35-45. </w:t>
      </w:r>
      <w:hyperlink r:id="rId104">
        <w:r w:rsidRPr="002A63BA">
          <w:rPr>
            <w:rFonts w:ascii="Open Sans" w:hAnsi="Open Sans" w:cs="Open Sans"/>
            <w:u w:val="single" w:color="006FC0"/>
          </w:rPr>
          <w:t>doi: 10.1016/j.trpro.2016.11.005</w:t>
        </w:r>
      </w:hyperlink>
      <w:r w:rsidRPr="002A63BA">
        <w:rPr>
          <w:rFonts w:ascii="Open Sans" w:hAnsi="Open Sans" w:cs="Open Sans"/>
          <w:u w:val="single" w:color="006FC0"/>
        </w:rPr>
        <w:t>.</w:t>
      </w:r>
    </w:p>
    <w:p w14:paraId="54F7C6E6"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Chen F., Turon K., Klos M., Czechm P., </w:t>
      </w:r>
      <w:r w:rsidRPr="002A63BA">
        <w:rPr>
          <w:rFonts w:ascii="Open Sans" w:hAnsi="Open Sans" w:cs="Open Sans"/>
          <w:spacing w:val="-2"/>
        </w:rPr>
        <w:t xml:space="preserve">Pamula </w:t>
      </w:r>
      <w:r w:rsidRPr="002A63BA">
        <w:rPr>
          <w:rFonts w:ascii="Open Sans" w:hAnsi="Open Sans" w:cs="Open Sans"/>
        </w:rPr>
        <w:t xml:space="preserve">W., Sierpinski G. (2018). Fifth-generation bike-sharing systems: examples from Poland and China. </w:t>
      </w:r>
      <w:r w:rsidRPr="002A63BA">
        <w:rPr>
          <w:rFonts w:ascii="Open Sans" w:hAnsi="Open Sans" w:cs="Open Sans"/>
          <w:i/>
          <w:iCs/>
        </w:rPr>
        <w:t xml:space="preserve">Scientific journal of Silesian university </w:t>
      </w:r>
      <w:r w:rsidRPr="002A63BA">
        <w:rPr>
          <w:rFonts w:ascii="Open Sans" w:hAnsi="Open Sans" w:cs="Open Sans"/>
          <w:i/>
          <w:iCs/>
          <w:spacing w:val="4"/>
        </w:rPr>
        <w:t xml:space="preserve">of </w:t>
      </w:r>
      <w:r w:rsidRPr="002A63BA">
        <w:rPr>
          <w:rFonts w:ascii="Open Sans" w:hAnsi="Open Sans" w:cs="Open Sans"/>
          <w:i/>
          <w:iCs/>
        </w:rPr>
        <w:t>technology</w:t>
      </w:r>
      <w:r w:rsidRPr="002A63BA">
        <w:rPr>
          <w:rFonts w:ascii="Open Sans" w:hAnsi="Open Sans" w:cs="Open Sans"/>
        </w:rPr>
        <w:t xml:space="preserve">. </w:t>
      </w:r>
      <w:hyperlink r:id="rId105">
        <w:r w:rsidRPr="002A63BA">
          <w:rPr>
            <w:rFonts w:ascii="Open Sans" w:hAnsi="Open Sans" w:cs="Open Sans"/>
            <w:u w:val="single" w:color="0462C1"/>
          </w:rPr>
          <w:t>doi: 10.20858/sjsutst.2018.99.1</w:t>
        </w:r>
      </w:hyperlink>
      <w:r w:rsidRPr="002A63BA">
        <w:rPr>
          <w:rFonts w:ascii="Open Sans" w:hAnsi="Open Sans" w:cs="Open Sans"/>
          <w:u w:val="single" w:color="0462C1"/>
        </w:rPr>
        <w:t>.</w:t>
      </w:r>
    </w:p>
    <w:p w14:paraId="40965739"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Docherty I., Marsden G., </w:t>
      </w:r>
      <w:r w:rsidRPr="002A63BA">
        <w:rPr>
          <w:rFonts w:ascii="Open Sans" w:hAnsi="Open Sans" w:cs="Open Sans"/>
          <w:spacing w:val="-3"/>
        </w:rPr>
        <w:t xml:space="preserve">Anable </w:t>
      </w:r>
      <w:r w:rsidRPr="002A63BA">
        <w:rPr>
          <w:rFonts w:ascii="Open Sans" w:hAnsi="Open Sans" w:cs="Open Sans"/>
        </w:rPr>
        <w:t xml:space="preserve">J., (2018). The governance </w:t>
      </w:r>
      <w:r w:rsidRPr="002A63BA">
        <w:rPr>
          <w:rFonts w:ascii="Open Sans" w:hAnsi="Open Sans" w:cs="Open Sans"/>
          <w:spacing w:val="4"/>
        </w:rPr>
        <w:t xml:space="preserve">of </w:t>
      </w:r>
      <w:r w:rsidRPr="002A63BA">
        <w:rPr>
          <w:rFonts w:ascii="Open Sans" w:hAnsi="Open Sans" w:cs="Open Sans"/>
        </w:rPr>
        <w:t xml:space="preserve">smart mobility. Transportation Research Part </w:t>
      </w:r>
      <w:r w:rsidRPr="002A63BA">
        <w:rPr>
          <w:rFonts w:ascii="Open Sans" w:hAnsi="Open Sans" w:cs="Open Sans"/>
          <w:spacing w:val="-3"/>
        </w:rPr>
        <w:t xml:space="preserve">A: </w:t>
      </w:r>
      <w:r w:rsidRPr="002A63BA">
        <w:rPr>
          <w:rFonts w:ascii="Open Sans" w:hAnsi="Open Sans" w:cs="Open Sans"/>
          <w:i/>
          <w:iCs/>
        </w:rPr>
        <w:t>Policy and Practice</w:t>
      </w:r>
      <w:r w:rsidRPr="002A63BA">
        <w:rPr>
          <w:rFonts w:ascii="Open Sans" w:hAnsi="Open Sans" w:cs="Open Sans"/>
        </w:rPr>
        <w:t xml:space="preserve">, </w:t>
      </w:r>
      <w:r w:rsidRPr="002A63BA">
        <w:rPr>
          <w:rFonts w:ascii="Open Sans" w:hAnsi="Open Sans" w:cs="Open Sans"/>
          <w:spacing w:val="-3"/>
        </w:rPr>
        <w:t xml:space="preserve">Vol. </w:t>
      </w:r>
      <w:r w:rsidRPr="002A63BA">
        <w:rPr>
          <w:rFonts w:ascii="Open Sans" w:hAnsi="Open Sans" w:cs="Open Sans"/>
        </w:rPr>
        <w:t xml:space="preserve">115, pp. 114-125. doi: </w:t>
      </w:r>
      <w:hyperlink r:id="rId106">
        <w:r w:rsidRPr="002A63BA">
          <w:rPr>
            <w:rFonts w:ascii="Open Sans" w:hAnsi="Open Sans" w:cs="Open Sans"/>
            <w:u w:val="single" w:color="0462C1"/>
          </w:rPr>
          <w:t>10.1016/j.tra.2017.09.012</w:t>
        </w:r>
      </w:hyperlink>
      <w:r w:rsidRPr="002A63BA">
        <w:rPr>
          <w:rFonts w:ascii="Open Sans" w:hAnsi="Open Sans" w:cs="Open Sans"/>
        </w:rPr>
        <w:t>.</w:t>
      </w:r>
    </w:p>
    <w:p w14:paraId="629CEE3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George, D., Mallery, M. (2010). SPSS for Windows Step by Step: A Simple Guide and Reference, 17.0 update (10 ed.). Boston: Pearson</w:t>
      </w:r>
    </w:p>
    <w:p w14:paraId="396C6D68"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lastRenderedPageBreak/>
        <w:t>Goldman, T., Gorham, R. (2006). Sustainable urban transport: Four</w:t>
      </w:r>
      <w:r w:rsidRPr="002A63BA">
        <w:rPr>
          <w:rFonts w:ascii="Open Sans" w:hAnsi="Open Sans" w:cs="Open Sans"/>
          <w:spacing w:val="-34"/>
        </w:rPr>
        <w:t xml:space="preserve"> </w:t>
      </w:r>
      <w:r w:rsidRPr="002A63BA">
        <w:rPr>
          <w:rFonts w:ascii="Open Sans" w:hAnsi="Open Sans" w:cs="Open Sans"/>
        </w:rPr>
        <w:t xml:space="preserve">innovative directions. </w:t>
      </w:r>
      <w:r w:rsidRPr="002A63BA">
        <w:rPr>
          <w:rFonts w:ascii="Open Sans" w:hAnsi="Open Sans" w:cs="Open Sans"/>
          <w:i/>
          <w:iCs/>
        </w:rPr>
        <w:t>Technology in Society</w:t>
      </w:r>
      <w:r w:rsidRPr="002A63BA">
        <w:rPr>
          <w:rFonts w:ascii="Open Sans" w:hAnsi="Open Sans" w:cs="Open Sans"/>
        </w:rPr>
        <w:t>, 28 (1-2), pp. 261-273. doi:</w:t>
      </w:r>
      <w:hyperlink r:id="rId107">
        <w:r w:rsidRPr="002A63BA">
          <w:rPr>
            <w:rFonts w:ascii="Open Sans" w:hAnsi="Open Sans" w:cs="Open Sans"/>
            <w:u w:val="single" w:color="0C7CBA"/>
          </w:rPr>
          <w:t>10.1016/j.techsoc.2005.10.007</w:t>
        </w:r>
      </w:hyperlink>
      <w:r w:rsidRPr="002A63BA">
        <w:rPr>
          <w:rFonts w:ascii="Open Sans" w:hAnsi="Open Sans" w:cs="Open Sans"/>
          <w:u w:val="single" w:color="0C7CBA"/>
        </w:rPr>
        <w:t>.</w:t>
      </w:r>
    </w:p>
    <w:p w14:paraId="0FAE010E"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Gonzalez-Feliu, J. (2018). </w:t>
      </w:r>
      <w:r w:rsidRPr="002A63BA">
        <w:rPr>
          <w:rFonts w:ascii="Open Sans" w:hAnsi="Open Sans" w:cs="Open Sans"/>
          <w:i/>
          <w:iCs/>
        </w:rPr>
        <w:t>Sustainable Urban Logistics: Planning and Evaluation</w:t>
      </w:r>
      <w:r w:rsidRPr="002A63BA">
        <w:rPr>
          <w:rFonts w:ascii="Open Sans" w:hAnsi="Open Sans" w:cs="Open Sans"/>
        </w:rPr>
        <w:t>, NJ:</w:t>
      </w:r>
      <w:r w:rsidRPr="002A63BA">
        <w:rPr>
          <w:rFonts w:ascii="Open Sans" w:hAnsi="Open Sans" w:cs="Open Sans"/>
          <w:spacing w:val="-29"/>
        </w:rPr>
        <w:t xml:space="preserve"> </w:t>
      </w:r>
      <w:r w:rsidRPr="002A63BA">
        <w:rPr>
          <w:rFonts w:ascii="Open Sans" w:hAnsi="Open Sans" w:cs="Open Sans"/>
        </w:rPr>
        <w:t xml:space="preserve">John Wiley &amp; Sons, Inc. Available at: </w:t>
      </w:r>
      <w:hyperlink r:id="rId108">
        <w:r w:rsidRPr="002A63BA">
          <w:rPr>
            <w:rFonts w:ascii="Open Sans" w:hAnsi="Open Sans" w:cs="Open Sans"/>
            <w:u w:val="single" w:color="0462C1"/>
          </w:rPr>
          <w:t>https://onlinelibrary.wiley.com/doi/book/10.1002/9781119421948</w:t>
        </w:r>
      </w:hyperlink>
      <w:r w:rsidRPr="002A63BA">
        <w:rPr>
          <w:rFonts w:ascii="Open Sans" w:hAnsi="Open Sans" w:cs="Open Sans"/>
          <w:u w:val="single" w:color="0462C1"/>
        </w:rPr>
        <w:t>.</w:t>
      </w:r>
    </w:p>
    <w:p w14:paraId="216B3A7F"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Gwilliam, </w:t>
      </w:r>
      <w:r w:rsidRPr="002A63BA">
        <w:rPr>
          <w:rFonts w:ascii="Open Sans" w:hAnsi="Open Sans" w:cs="Open Sans"/>
          <w:spacing w:val="-3"/>
        </w:rPr>
        <w:t xml:space="preserve">K. </w:t>
      </w:r>
      <w:r w:rsidRPr="002A63BA">
        <w:rPr>
          <w:rFonts w:ascii="Open Sans" w:hAnsi="Open Sans" w:cs="Open Sans"/>
        </w:rPr>
        <w:t xml:space="preserve">M., Kojima, M., Johnson, T. (2004). Reducing air pollution from urban transport. Washington, DC: </w:t>
      </w:r>
      <w:r w:rsidRPr="002A63BA">
        <w:rPr>
          <w:rFonts w:ascii="Open Sans" w:hAnsi="Open Sans" w:cs="Open Sans"/>
          <w:spacing w:val="-3"/>
        </w:rPr>
        <w:t xml:space="preserve">World </w:t>
      </w:r>
      <w:r w:rsidRPr="002A63BA">
        <w:rPr>
          <w:rFonts w:ascii="Open Sans" w:hAnsi="Open Sans" w:cs="Open Sans"/>
        </w:rPr>
        <w:t>Bank. Available at:</w:t>
      </w:r>
      <w:hyperlink r:id="rId109">
        <w:r w:rsidRPr="002A63BA">
          <w:rPr>
            <w:rFonts w:ascii="Open Sans" w:hAnsi="Open Sans" w:cs="Open Sans"/>
            <w:u w:val="single" w:color="0462C1"/>
          </w:rPr>
          <w:t xml:space="preserve"> </w:t>
        </w:r>
      </w:hyperlink>
      <w:hyperlink r:id="rId110">
        <w:r w:rsidRPr="002A63BA">
          <w:rPr>
            <w:rFonts w:ascii="Open Sans" w:hAnsi="Open Sans" w:cs="Open Sans"/>
            <w:spacing w:val="-1"/>
            <w:u w:val="single" w:color="0462C1"/>
          </w:rPr>
          <w:t>https://esmap.org/sites/default/files/esmap-files/urban%20pollution%20entire%20report.pdf</w:t>
        </w:r>
      </w:hyperlink>
    </w:p>
    <w:p w14:paraId="29AFEDC2"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Ilhan A., Fietkiewicz K. (2017). Think Green- Bike! The Bicycle Sharing System </w:t>
      </w:r>
      <w:r w:rsidRPr="002A63BA">
        <w:rPr>
          <w:rFonts w:ascii="Open Sans" w:hAnsi="Open Sans" w:cs="Open Sans"/>
          <w:spacing w:val="-3"/>
        </w:rPr>
        <w:t xml:space="preserve">in </w:t>
      </w:r>
      <w:r w:rsidRPr="002A63BA">
        <w:rPr>
          <w:rFonts w:ascii="Open Sans" w:hAnsi="Open Sans" w:cs="Open Sans"/>
        </w:rPr>
        <w:t>the Smart City of Barcelona. Department of Information Science, Heinrich Heine University. pp. 309-323. Available at:</w:t>
      </w:r>
      <w:hyperlink r:id="rId111">
        <w:r w:rsidRPr="002A63BA">
          <w:rPr>
            <w:rFonts w:ascii="Open Sans" w:hAnsi="Open Sans" w:cs="Open Sans"/>
            <w:u w:val="single" w:color="0462C1"/>
          </w:rPr>
          <w:t xml:space="preserve"> </w:t>
        </w:r>
      </w:hyperlink>
      <w:hyperlink r:id="rId112">
        <w:r w:rsidRPr="002A63BA">
          <w:rPr>
            <w:rFonts w:ascii="Open Sans" w:hAnsi="Open Sans" w:cs="Open Sans"/>
            <w:spacing w:val="-1"/>
            <w:u w:val="single" w:color="0462C1"/>
          </w:rPr>
          <w:t>https://www.researchgate.net/publication/328799708_A_Bibliometric_Analysis_of_Studies_</w:t>
        </w:r>
      </w:hyperlink>
      <w:hyperlink r:id="rId113">
        <w:r w:rsidRPr="002A63BA">
          <w:rPr>
            <w:rFonts w:ascii="Open Sans" w:hAnsi="Open Sans" w:cs="Open Sans"/>
            <w:spacing w:val="-1"/>
            <w:u w:val="single" w:color="0462C1"/>
          </w:rPr>
          <w:t xml:space="preserve"> </w:t>
        </w:r>
      </w:hyperlink>
      <w:hyperlink r:id="rId114">
        <w:r w:rsidRPr="002A63BA">
          <w:rPr>
            <w:rFonts w:ascii="Open Sans" w:hAnsi="Open Sans" w:cs="Open Sans"/>
            <w:u w:val="single" w:color="0462C1"/>
          </w:rPr>
          <w:t xml:space="preserve">on_Medical_Radiation_Workers_Active_Authors_Hot_Topics_and_Malaysian_Works_in_t </w:t>
        </w:r>
      </w:hyperlink>
      <w:hyperlink r:id="rId115">
        <w:r w:rsidRPr="002A63BA">
          <w:rPr>
            <w:rFonts w:ascii="Open Sans" w:hAnsi="Open Sans" w:cs="Open Sans"/>
            <w:u w:val="single" w:color="0462C1"/>
          </w:rPr>
          <w:t>he_Research_Landscape</w:t>
        </w:r>
      </w:hyperlink>
    </w:p>
    <w:p w14:paraId="5D40FA3A"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Jain, R., Chetty, P. (2019). How to interpret the results of the linear regression test in SPSS? . [online] Project Guru. Available at: </w:t>
      </w:r>
      <w:hyperlink r:id="rId116">
        <w:r w:rsidRPr="002A63BA">
          <w:rPr>
            <w:rFonts w:ascii="Open Sans" w:hAnsi="Open Sans" w:cs="Open Sans"/>
          </w:rPr>
          <w:t xml:space="preserve">https://www.projectguru.in/interpret-results- </w:t>
        </w:r>
      </w:hyperlink>
      <w:hyperlink r:id="rId117">
        <w:r w:rsidRPr="002A63BA">
          <w:rPr>
            <w:rFonts w:ascii="Open Sans" w:hAnsi="Open Sans" w:cs="Open Sans"/>
          </w:rPr>
          <w:t>linear-regression-test-spss/</w:t>
        </w:r>
      </w:hyperlink>
      <w:hyperlink r:id="rId118">
        <w:r w:rsidRPr="002A63BA">
          <w:rPr>
            <w:rFonts w:ascii="Open Sans" w:hAnsi="Open Sans" w:cs="Open Sans"/>
          </w:rPr>
          <w:t xml:space="preserve"> </w:t>
        </w:r>
      </w:hyperlink>
      <w:r w:rsidRPr="002A63BA">
        <w:rPr>
          <w:rFonts w:ascii="Open Sans" w:hAnsi="Open Sans" w:cs="Open Sans"/>
        </w:rPr>
        <w:t>(Accessed September 01, 2021).</w:t>
      </w:r>
    </w:p>
    <w:p w14:paraId="20CC593D"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Hair J. F., Black W. C., Babin B. J., Anderson R. E. (2010). </w:t>
      </w:r>
      <w:r w:rsidRPr="002A63BA">
        <w:rPr>
          <w:rFonts w:ascii="Open Sans" w:hAnsi="Open Sans" w:cs="Open Sans"/>
          <w:i/>
          <w:iCs/>
        </w:rPr>
        <w:t>Multivariate Data Analysis</w:t>
      </w:r>
      <w:r w:rsidRPr="002A63BA">
        <w:rPr>
          <w:rFonts w:ascii="Open Sans" w:hAnsi="Open Sans" w:cs="Open Sans"/>
        </w:rPr>
        <w:t>, Pearson Prentice Hall.</w:t>
      </w:r>
    </w:p>
    <w:p w14:paraId="5A884EA7"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Ji P. N., Wang T. (2016). Internet of things with optical</w:t>
      </w:r>
      <w:r w:rsidRPr="002A63BA">
        <w:rPr>
          <w:rFonts w:ascii="Open Sans" w:hAnsi="Open Sans" w:cs="Open Sans"/>
          <w:spacing w:val="-43"/>
        </w:rPr>
        <w:t xml:space="preserve"> </w:t>
      </w:r>
      <w:r w:rsidRPr="002A63BA">
        <w:rPr>
          <w:rFonts w:ascii="Open Sans" w:hAnsi="Open Sans" w:cs="Open Sans"/>
        </w:rPr>
        <w:t xml:space="preserve">connectivity, networking, and beyond. </w:t>
      </w:r>
      <w:r w:rsidRPr="002A63BA">
        <w:rPr>
          <w:rFonts w:ascii="Open Sans" w:hAnsi="Open Sans" w:cs="Open Sans"/>
          <w:i/>
          <w:iCs/>
        </w:rPr>
        <w:t>The 21st OptoElectronics and Communications Conference (OECC)</w:t>
      </w:r>
      <w:r w:rsidRPr="002A63BA">
        <w:rPr>
          <w:rFonts w:ascii="Open Sans" w:hAnsi="Open Sans" w:cs="Open Sans"/>
        </w:rPr>
        <w:t xml:space="preserve"> was </w:t>
      </w:r>
      <w:r w:rsidRPr="002A63BA">
        <w:rPr>
          <w:rFonts w:ascii="Open Sans" w:hAnsi="Open Sans" w:cs="Open Sans"/>
          <w:spacing w:val="-3"/>
        </w:rPr>
        <w:t xml:space="preserve">held jointly </w:t>
      </w:r>
      <w:r w:rsidRPr="002A63BA">
        <w:rPr>
          <w:rFonts w:ascii="Open Sans" w:hAnsi="Open Sans" w:cs="Open Sans"/>
        </w:rPr>
        <w:t xml:space="preserve">with the 2016 International Conference on Photonics </w:t>
      </w:r>
      <w:r w:rsidRPr="002A63BA">
        <w:rPr>
          <w:rFonts w:ascii="Open Sans" w:hAnsi="Open Sans" w:cs="Open Sans"/>
          <w:spacing w:val="-3"/>
        </w:rPr>
        <w:t xml:space="preserve">in </w:t>
      </w:r>
      <w:r w:rsidRPr="002A63BA">
        <w:rPr>
          <w:rFonts w:ascii="Open Sans" w:hAnsi="Open Sans" w:cs="Open Sans"/>
        </w:rPr>
        <w:t xml:space="preserve">Switching (PS). Available at: </w:t>
      </w:r>
      <w:hyperlink r:id="rId119">
        <w:r w:rsidRPr="002A63BA">
          <w:rPr>
            <w:rFonts w:ascii="Open Sans" w:hAnsi="Open Sans" w:cs="Open Sans"/>
            <w:u w:val="single" w:color="0462C1"/>
          </w:rPr>
          <w:t>https://ieeexplore.ieee.org/abstract/document/7718328</w:t>
        </w:r>
      </w:hyperlink>
    </w:p>
    <w:p w14:paraId="3A3E402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Kampf R., Gašparík J., Kudláčková N. (2012). Application of different forms of transport </w:t>
      </w:r>
      <w:r w:rsidRPr="002A63BA">
        <w:rPr>
          <w:rFonts w:ascii="Open Sans" w:hAnsi="Open Sans" w:cs="Open Sans"/>
          <w:spacing w:val="-3"/>
        </w:rPr>
        <w:t xml:space="preserve">in </w:t>
      </w:r>
      <w:r w:rsidRPr="002A63BA">
        <w:rPr>
          <w:rFonts w:ascii="Open Sans" w:hAnsi="Open Sans" w:cs="Open Sans"/>
        </w:rPr>
        <w:t xml:space="preserve">relation to the process of transport user </w:t>
      </w:r>
      <w:r w:rsidRPr="002A63BA">
        <w:rPr>
          <w:rFonts w:ascii="Open Sans" w:hAnsi="Open Sans" w:cs="Open Sans"/>
          <w:spacing w:val="-3"/>
        </w:rPr>
        <w:t xml:space="preserve">value </w:t>
      </w:r>
      <w:r w:rsidRPr="002A63BA">
        <w:rPr>
          <w:rFonts w:ascii="Open Sans" w:hAnsi="Open Sans" w:cs="Open Sans"/>
        </w:rPr>
        <w:t xml:space="preserve">creation. 40(2). Available at: </w:t>
      </w:r>
      <w:hyperlink r:id="rId120">
        <w:r w:rsidRPr="002A63BA">
          <w:rPr>
            <w:rFonts w:ascii="Open Sans" w:hAnsi="Open Sans" w:cs="Open Sans"/>
            <w:u w:val="single" w:color="0462C1"/>
          </w:rPr>
          <w:t>https://pp.bme.hu/tr/article/view/7006</w:t>
        </w:r>
      </w:hyperlink>
    </w:p>
    <w:p w14:paraId="0130BA38"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hanging="480"/>
        <w:contextualSpacing w:val="0"/>
        <w:rPr>
          <w:rFonts w:ascii="Open Sans" w:hAnsi="Open Sans" w:cs="Open Sans"/>
        </w:rPr>
      </w:pPr>
      <w:r w:rsidRPr="002A63BA">
        <w:rPr>
          <w:rFonts w:ascii="Open Sans" w:hAnsi="Open Sans" w:cs="Open Sans"/>
        </w:rPr>
        <w:t xml:space="preserve">Kofi Penney, E., Agyei, J., Kofi Boadi, E., Abrokwah, E., Ofori-Boafo, R. (2021). Understanding Factors That Influence Consumer Intention to </w:t>
      </w:r>
      <w:r w:rsidRPr="002A63BA">
        <w:rPr>
          <w:rFonts w:ascii="Open Sans" w:hAnsi="Open Sans" w:cs="Open Sans"/>
        </w:rPr>
        <w:lastRenderedPageBreak/>
        <w:t xml:space="preserve">Use Mobile Money Services: An Application of UTAUT2 With Perceived Risk and Trust. </w:t>
      </w:r>
      <w:r w:rsidRPr="002A63BA">
        <w:rPr>
          <w:rFonts w:ascii="Open Sans" w:hAnsi="Open Sans" w:cs="Open Sans"/>
          <w:i/>
          <w:iCs/>
        </w:rPr>
        <w:t>SAGE Open</w:t>
      </w:r>
      <w:r w:rsidRPr="002A63BA">
        <w:rPr>
          <w:rFonts w:ascii="Open Sans" w:hAnsi="Open Sans" w:cs="Open Sans"/>
        </w:rPr>
        <w:t>, 11(3), 2021. doi: 10.1177/21582440211023188.</w:t>
      </w:r>
    </w:p>
    <w:p w14:paraId="4564AED7"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Madakam, S., Lake, V., Lake, V., Lake, V. (2015). Internet of Things (IoT): A</w:t>
      </w:r>
      <w:r w:rsidRPr="002A63BA">
        <w:rPr>
          <w:rFonts w:ascii="Open Sans" w:hAnsi="Open Sans" w:cs="Open Sans"/>
          <w:spacing w:val="-35"/>
        </w:rPr>
        <w:t xml:space="preserve"> </w:t>
      </w:r>
      <w:r w:rsidRPr="002A63BA">
        <w:rPr>
          <w:rFonts w:ascii="Open Sans" w:hAnsi="Open Sans" w:cs="Open Sans"/>
        </w:rPr>
        <w:t xml:space="preserve">literature review. </w:t>
      </w:r>
      <w:r w:rsidRPr="002A63BA">
        <w:rPr>
          <w:rFonts w:ascii="Open Sans" w:hAnsi="Open Sans" w:cs="Open Sans"/>
          <w:i/>
          <w:iCs/>
        </w:rPr>
        <w:t>Journal of Computer and Communications</w:t>
      </w:r>
      <w:r w:rsidRPr="002A63BA">
        <w:rPr>
          <w:rFonts w:ascii="Open Sans" w:hAnsi="Open Sans" w:cs="Open Sans"/>
        </w:rPr>
        <w:t xml:space="preserve">, 3 (05), 164. doi: </w:t>
      </w:r>
      <w:hyperlink r:id="rId121">
        <w:r w:rsidRPr="002A63BA">
          <w:rPr>
            <w:rFonts w:ascii="Open Sans" w:hAnsi="Open Sans" w:cs="Open Sans"/>
            <w:u w:val="single" w:color="0462C1"/>
          </w:rPr>
          <w:t>10.4236/jcc.2015.35021</w:t>
        </w:r>
      </w:hyperlink>
      <w:r w:rsidRPr="002A63BA">
        <w:rPr>
          <w:rFonts w:ascii="Open Sans" w:hAnsi="Open Sans" w:cs="Open Sans"/>
          <w:u w:val="single" w:color="0462C1"/>
        </w:rPr>
        <w:t>.</w:t>
      </w:r>
    </w:p>
    <w:p w14:paraId="4294464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Matrai T., Toth J., (2020). Cluster Analysis of Public Bike Sharing Systems for Categorization. </w:t>
      </w:r>
      <w:r w:rsidRPr="002A63BA">
        <w:rPr>
          <w:rFonts w:ascii="Open Sans" w:hAnsi="Open Sans" w:cs="Open Sans"/>
          <w:i/>
          <w:iCs/>
        </w:rPr>
        <w:t>MDPI</w:t>
      </w:r>
      <w:r w:rsidRPr="002A63BA">
        <w:rPr>
          <w:rFonts w:ascii="Open Sans" w:hAnsi="Open Sans" w:cs="Open Sans"/>
        </w:rPr>
        <w:t>. Available at:</w:t>
      </w:r>
      <w:r w:rsidRPr="002A63BA">
        <w:rPr>
          <w:rFonts w:ascii="Open Sans" w:hAnsi="Open Sans" w:cs="Open Sans"/>
          <w:spacing w:val="-19"/>
        </w:rPr>
        <w:t xml:space="preserve"> </w:t>
      </w:r>
      <w:hyperlink r:id="rId122">
        <w:r w:rsidRPr="002A63BA">
          <w:rPr>
            <w:rFonts w:ascii="Open Sans" w:hAnsi="Open Sans" w:cs="Open Sans"/>
            <w:u w:val="single" w:color="0462C1"/>
          </w:rPr>
          <w:t>https://www.mdpi.com/2071-1050/12/14/5501</w:t>
        </w:r>
      </w:hyperlink>
    </w:p>
    <w:p w14:paraId="4D59AEE5"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Midgley, P. (2011). Bicycle-Sharing Schemes: Enhancing Sustainable Mobility </w:t>
      </w:r>
      <w:r w:rsidRPr="002A63BA">
        <w:rPr>
          <w:rFonts w:ascii="Open Sans" w:hAnsi="Open Sans" w:cs="Open Sans"/>
          <w:spacing w:val="-3"/>
        </w:rPr>
        <w:t xml:space="preserve">in </w:t>
      </w:r>
      <w:r w:rsidRPr="002A63BA">
        <w:rPr>
          <w:rFonts w:ascii="Open Sans" w:hAnsi="Open Sans" w:cs="Open Sans"/>
        </w:rPr>
        <w:t xml:space="preserve">Urban Areas. </w:t>
      </w:r>
      <w:r w:rsidRPr="002A63BA">
        <w:rPr>
          <w:rFonts w:ascii="Open Sans" w:hAnsi="Open Sans" w:cs="Open Sans"/>
          <w:i/>
          <w:iCs/>
          <w:spacing w:val="-3"/>
        </w:rPr>
        <w:t xml:space="preserve">Comm. </w:t>
      </w:r>
      <w:r w:rsidRPr="002A63BA">
        <w:rPr>
          <w:rFonts w:ascii="Open Sans" w:hAnsi="Open Sans" w:cs="Open Sans"/>
          <w:i/>
          <w:iCs/>
        </w:rPr>
        <w:t>Sustain. Dev. 19th Sessions</w:t>
      </w:r>
      <w:r w:rsidRPr="002A63BA">
        <w:rPr>
          <w:rFonts w:ascii="Open Sans" w:hAnsi="Open Sans" w:cs="Open Sans"/>
        </w:rPr>
        <w:t xml:space="preserve">, pp. 1–26. Available at: </w:t>
      </w:r>
      <w:hyperlink r:id="rId123">
        <w:r w:rsidRPr="002A63BA">
          <w:rPr>
            <w:rFonts w:ascii="Open Sans" w:hAnsi="Open Sans" w:cs="Open Sans"/>
            <w:u w:val="single" w:color="0462C1"/>
          </w:rPr>
          <w:t xml:space="preserve">https://www.un.org/esa/dsd/resources/res_pdfs/csd-19/Background-Paper8-P.Midgley- </w:t>
        </w:r>
      </w:hyperlink>
      <w:hyperlink r:id="rId124">
        <w:r w:rsidRPr="002A63BA">
          <w:rPr>
            <w:rFonts w:ascii="Open Sans" w:hAnsi="Open Sans" w:cs="Open Sans"/>
            <w:u w:val="single" w:color="0462C1"/>
          </w:rPr>
          <w:t>Bicycle.pdf</w:t>
        </w:r>
      </w:hyperlink>
    </w:p>
    <w:p w14:paraId="04976681"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Munkacsy A., Monzon A. (2017). Potential User Profiles of Innovative Bike-Sharing Systems: The Case </w:t>
      </w:r>
      <w:r w:rsidRPr="002A63BA">
        <w:rPr>
          <w:rFonts w:ascii="Open Sans" w:hAnsi="Open Sans" w:cs="Open Sans"/>
          <w:spacing w:val="4"/>
        </w:rPr>
        <w:t xml:space="preserve">of </w:t>
      </w:r>
      <w:r w:rsidRPr="002A63BA">
        <w:rPr>
          <w:rFonts w:ascii="Open Sans" w:hAnsi="Open Sans" w:cs="Open Sans"/>
        </w:rPr>
        <w:t xml:space="preserve">BiciMAD (Madrid, Spain). </w:t>
      </w:r>
      <w:r w:rsidRPr="002A63BA">
        <w:rPr>
          <w:rFonts w:ascii="Open Sans" w:hAnsi="Open Sans" w:cs="Open Sans"/>
          <w:i/>
          <w:iCs/>
        </w:rPr>
        <w:t>Asian Transport Studies</w:t>
      </w:r>
      <w:r w:rsidRPr="002A63BA">
        <w:rPr>
          <w:rFonts w:ascii="Open Sans" w:hAnsi="Open Sans" w:cs="Open Sans"/>
        </w:rPr>
        <w:t xml:space="preserve">. Retrieved from: </w:t>
      </w:r>
      <w:hyperlink r:id="rId125">
        <w:r w:rsidRPr="002A63BA">
          <w:rPr>
            <w:rFonts w:ascii="Open Sans" w:hAnsi="Open Sans" w:cs="Open Sans"/>
            <w:u w:val="single" w:color="0462C1"/>
          </w:rPr>
          <w:t>https://www.jstage.jst.go.jp/article/eastsats/4/3/4_621/_article</w:t>
        </w:r>
      </w:hyperlink>
    </w:p>
    <w:p w14:paraId="3F441823"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Pang Z., Chen Q., Tian </w:t>
      </w:r>
      <w:r w:rsidRPr="002A63BA">
        <w:rPr>
          <w:rFonts w:ascii="Open Sans" w:hAnsi="Open Sans" w:cs="Open Sans"/>
          <w:spacing w:val="-3"/>
        </w:rPr>
        <w:t xml:space="preserve">j., </w:t>
      </w:r>
      <w:r w:rsidRPr="002A63BA">
        <w:rPr>
          <w:rFonts w:ascii="Open Sans" w:hAnsi="Open Sans" w:cs="Open Sans"/>
        </w:rPr>
        <w:t xml:space="preserve">Zheng L., Dubrova E., (2013). Ecosystem analysis </w:t>
      </w:r>
      <w:r w:rsidRPr="002A63BA">
        <w:rPr>
          <w:rFonts w:ascii="Open Sans" w:hAnsi="Open Sans" w:cs="Open Sans"/>
          <w:spacing w:val="-3"/>
        </w:rPr>
        <w:t xml:space="preserve">in </w:t>
      </w:r>
      <w:r w:rsidRPr="002A63BA">
        <w:rPr>
          <w:rFonts w:ascii="Open Sans" w:hAnsi="Open Sans" w:cs="Open Sans"/>
        </w:rPr>
        <w:t xml:space="preserve">the design of open platform-based in-home healthcare terminals towards the internet-of-things. </w:t>
      </w:r>
      <w:r w:rsidRPr="002A63BA">
        <w:rPr>
          <w:rFonts w:ascii="Open Sans" w:hAnsi="Open Sans" w:cs="Open Sans"/>
          <w:i/>
          <w:iCs/>
        </w:rPr>
        <w:t>15th International Conference on Advanced Communications Technology (ICACT)</w:t>
      </w:r>
      <w:r w:rsidRPr="002A63BA">
        <w:rPr>
          <w:rFonts w:ascii="Open Sans" w:hAnsi="Open Sans" w:cs="Open Sans"/>
        </w:rPr>
        <w:t>, pp. 529-534. Available at:</w:t>
      </w:r>
      <w:r w:rsidRPr="002A63BA">
        <w:rPr>
          <w:rFonts w:ascii="Open Sans" w:hAnsi="Open Sans" w:cs="Open Sans"/>
          <w:spacing w:val="3"/>
        </w:rPr>
        <w:t xml:space="preserve"> </w:t>
      </w:r>
      <w:hyperlink r:id="rId126">
        <w:r w:rsidRPr="002A63BA">
          <w:rPr>
            <w:rFonts w:ascii="Open Sans" w:hAnsi="Open Sans" w:cs="Open Sans"/>
            <w:u w:val="single" w:color="0462C1"/>
          </w:rPr>
          <w:t>https://ieeexplore.ieee.org/abstract/document/6488244</w:t>
        </w:r>
      </w:hyperlink>
    </w:p>
    <w:p w14:paraId="325ED62D"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Shachak, A., Kuziemsky, C., Petersen, C. (2019). </w:t>
      </w:r>
      <w:r w:rsidRPr="002A63BA">
        <w:rPr>
          <w:rFonts w:ascii="Open Sans" w:hAnsi="Open Sans" w:cs="Open Sans"/>
          <w:spacing w:val="-3"/>
        </w:rPr>
        <w:t xml:space="preserve">Beyond </w:t>
      </w:r>
      <w:r w:rsidRPr="002A63BA">
        <w:rPr>
          <w:rFonts w:ascii="Open Sans" w:hAnsi="Open Sans" w:cs="Open Sans"/>
        </w:rPr>
        <w:t xml:space="preserve">TAM and UTAUT: future directions for HIT implementation research. </w:t>
      </w:r>
      <w:r w:rsidRPr="002A63BA">
        <w:rPr>
          <w:rFonts w:ascii="Open Sans" w:hAnsi="Open Sans" w:cs="Open Sans"/>
          <w:i/>
          <w:iCs/>
        </w:rPr>
        <w:t xml:space="preserve">Journal </w:t>
      </w:r>
      <w:r w:rsidRPr="002A63BA">
        <w:rPr>
          <w:rFonts w:ascii="Open Sans" w:hAnsi="Open Sans" w:cs="Open Sans"/>
          <w:i/>
          <w:iCs/>
          <w:spacing w:val="-3"/>
        </w:rPr>
        <w:t xml:space="preserve">of </w:t>
      </w:r>
      <w:r w:rsidRPr="002A63BA">
        <w:rPr>
          <w:rFonts w:ascii="Open Sans" w:hAnsi="Open Sans" w:cs="Open Sans"/>
          <w:i/>
          <w:iCs/>
        </w:rPr>
        <w:t>Biomedical Informatics</w:t>
      </w:r>
      <w:r w:rsidRPr="002A63BA">
        <w:rPr>
          <w:rFonts w:ascii="Open Sans" w:hAnsi="Open Sans" w:cs="Open Sans"/>
        </w:rPr>
        <w:t xml:space="preserve">, 100, 103315. doi: </w:t>
      </w:r>
      <w:hyperlink r:id="rId127">
        <w:r w:rsidRPr="002A63BA">
          <w:rPr>
            <w:rFonts w:ascii="Open Sans" w:hAnsi="Open Sans" w:cs="Open Sans"/>
          </w:rPr>
          <w:t>10.1016/j.jbi.2019.103315</w:t>
        </w:r>
      </w:hyperlink>
      <w:r w:rsidRPr="002A63BA">
        <w:rPr>
          <w:rFonts w:ascii="Open Sans" w:hAnsi="Open Sans" w:cs="Open Sans"/>
        </w:rPr>
        <w:t>.</w:t>
      </w:r>
    </w:p>
    <w:p w14:paraId="7B4B3F8E"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Tabachnick, B. G., Fidell, L. S. (2013). </w:t>
      </w:r>
      <w:r w:rsidRPr="002A63BA">
        <w:rPr>
          <w:rFonts w:ascii="Open Sans" w:hAnsi="Open Sans" w:cs="Open Sans"/>
          <w:i/>
          <w:iCs/>
        </w:rPr>
        <w:t>Using Multivariate Statistics</w:t>
      </w:r>
      <w:r w:rsidRPr="002A63BA">
        <w:rPr>
          <w:rFonts w:ascii="Open Sans" w:hAnsi="Open Sans" w:cs="Open Sans"/>
        </w:rPr>
        <w:t xml:space="preserve"> (6th ed.), Boston, MA: Person.</w:t>
      </w:r>
    </w:p>
    <w:p w14:paraId="10D2282B"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United Nations (2000). United Nations Millennium Declaration. General Assembly resolution 55/2. Available at: </w:t>
      </w:r>
      <w:hyperlink r:id="rId128">
        <w:r w:rsidRPr="002A63BA">
          <w:rPr>
            <w:rFonts w:ascii="Open Sans" w:hAnsi="Open Sans" w:cs="Open Sans"/>
            <w:u w:val="single" w:color="0462C1"/>
          </w:rPr>
          <w:t>https://www.ohchr.org/EN/ProfessionalInterest/Pages/Millennium.aspx</w:t>
        </w:r>
      </w:hyperlink>
    </w:p>
    <w:p w14:paraId="695BBD94"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Urry J. (2008). Climate change, travel and complex futures. </w:t>
      </w:r>
      <w:r w:rsidRPr="002A63BA">
        <w:rPr>
          <w:rFonts w:ascii="Open Sans" w:hAnsi="Open Sans" w:cs="Open Sans"/>
          <w:i/>
          <w:iCs/>
        </w:rPr>
        <w:t xml:space="preserve">The British </w:t>
      </w:r>
      <w:r w:rsidRPr="002A63BA">
        <w:rPr>
          <w:rFonts w:ascii="Open Sans" w:hAnsi="Open Sans" w:cs="Open Sans"/>
          <w:i/>
          <w:iCs/>
        </w:rPr>
        <w:lastRenderedPageBreak/>
        <w:t>Journal of Sociology 2008</w:t>
      </w:r>
      <w:r w:rsidRPr="002A63BA">
        <w:rPr>
          <w:rFonts w:ascii="Open Sans" w:hAnsi="Open Sans" w:cs="Open Sans"/>
        </w:rPr>
        <w:t>, 59 (2). Available at:</w:t>
      </w:r>
      <w:r w:rsidRPr="002A63BA">
        <w:rPr>
          <w:rFonts w:ascii="Open Sans" w:hAnsi="Open Sans" w:cs="Open Sans"/>
          <w:spacing w:val="-3"/>
        </w:rPr>
        <w:t xml:space="preserve"> </w:t>
      </w:r>
      <w:hyperlink r:id="rId129">
        <w:r w:rsidRPr="002A63BA">
          <w:rPr>
            <w:rFonts w:ascii="Open Sans" w:hAnsi="Open Sans" w:cs="Open Sans"/>
            <w:u w:val="single" w:color="0462C1"/>
          </w:rPr>
          <w:t>https://www.lancaster.ac.uk/staff/tyfield/urry08bjs</w:t>
        </w:r>
      </w:hyperlink>
    </w:p>
    <w:p w14:paraId="7F84CD4C"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Venkatesh, V., Thong, J. Y., Xu, </w:t>
      </w:r>
      <w:r w:rsidRPr="002A63BA">
        <w:rPr>
          <w:rFonts w:ascii="Open Sans" w:hAnsi="Open Sans" w:cs="Open Sans"/>
          <w:spacing w:val="-3"/>
        </w:rPr>
        <w:t xml:space="preserve">X. </w:t>
      </w:r>
      <w:r w:rsidRPr="002A63BA">
        <w:rPr>
          <w:rFonts w:ascii="Open Sans" w:hAnsi="Open Sans" w:cs="Open Sans"/>
        </w:rPr>
        <w:t xml:space="preserve">(2012). Consumer acceptance and use of information technology: extending the unified theory of acceptance and use </w:t>
      </w:r>
      <w:r w:rsidRPr="002A63BA">
        <w:rPr>
          <w:rFonts w:ascii="Open Sans" w:hAnsi="Open Sans" w:cs="Open Sans"/>
          <w:spacing w:val="4"/>
        </w:rPr>
        <w:t xml:space="preserve">of </w:t>
      </w:r>
      <w:r w:rsidRPr="002A63BA">
        <w:rPr>
          <w:rFonts w:ascii="Open Sans" w:hAnsi="Open Sans" w:cs="Open Sans"/>
        </w:rPr>
        <w:t xml:space="preserve">technology. </w:t>
      </w:r>
      <w:r w:rsidRPr="002A63BA">
        <w:rPr>
          <w:rFonts w:ascii="Open Sans" w:hAnsi="Open Sans" w:cs="Open Sans"/>
          <w:i/>
          <w:iCs/>
        </w:rPr>
        <w:t>MOUSE</w:t>
      </w:r>
      <w:r w:rsidRPr="002A63BA">
        <w:rPr>
          <w:rFonts w:ascii="Open Sans" w:hAnsi="Open Sans" w:cs="Open Sans"/>
          <w:i/>
          <w:iCs/>
          <w:spacing w:val="-30"/>
        </w:rPr>
        <w:t xml:space="preserve"> </w:t>
      </w:r>
      <w:r w:rsidRPr="002A63BA">
        <w:rPr>
          <w:rFonts w:ascii="Open Sans" w:hAnsi="Open Sans" w:cs="Open Sans"/>
          <w:i/>
          <w:iCs/>
        </w:rPr>
        <w:t>quarterly</w:t>
      </w:r>
      <w:r w:rsidRPr="002A63BA">
        <w:rPr>
          <w:rFonts w:ascii="Open Sans" w:hAnsi="Open Sans" w:cs="Open Sans"/>
        </w:rPr>
        <w:t xml:space="preserve">, pp. 157-178. doi: </w:t>
      </w:r>
      <w:hyperlink r:id="rId130">
        <w:r w:rsidRPr="002A63BA">
          <w:rPr>
            <w:rFonts w:ascii="Open Sans" w:hAnsi="Open Sans" w:cs="Open Sans"/>
            <w:spacing w:val="-6"/>
          </w:rPr>
          <w:t>10.2307/41410412</w:t>
        </w:r>
      </w:hyperlink>
      <w:r w:rsidRPr="002A63BA">
        <w:rPr>
          <w:rFonts w:ascii="Open Sans" w:hAnsi="Open Sans" w:cs="Open Sans"/>
          <w:spacing w:val="-6"/>
        </w:rPr>
        <w:t>.</w:t>
      </w:r>
    </w:p>
    <w:p w14:paraId="24C4EA73" w14:textId="77777777" w:rsidR="007C3C4B" w:rsidRPr="002A63BA" w:rsidRDefault="007C3C4B" w:rsidP="00FF3EE4">
      <w:pPr>
        <w:pStyle w:val="Odlomakpopisa"/>
        <w:widowControl w:val="0"/>
        <w:numPr>
          <w:ilvl w:val="0"/>
          <w:numId w:val="23"/>
        </w:numPr>
        <w:tabs>
          <w:tab w:val="left" w:pos="426"/>
        </w:tabs>
        <w:autoSpaceDE w:val="0"/>
        <w:autoSpaceDN w:val="0"/>
        <w:spacing w:after="0" w:line="276" w:lineRule="auto"/>
        <w:ind w:left="426" w:hanging="426"/>
        <w:contextualSpacing w:val="0"/>
        <w:rPr>
          <w:rFonts w:ascii="Open Sans" w:hAnsi="Open Sans" w:cs="Open Sans"/>
        </w:rPr>
      </w:pPr>
      <w:r w:rsidRPr="002A63BA">
        <w:rPr>
          <w:rFonts w:ascii="Open Sans" w:hAnsi="Open Sans" w:cs="Open Sans"/>
        </w:rPr>
        <w:t xml:space="preserve">Venkatesh, W., Morris, M. G., </w:t>
      </w:r>
      <w:r w:rsidRPr="002A63BA">
        <w:rPr>
          <w:rFonts w:ascii="Open Sans" w:hAnsi="Open Sans" w:cs="Open Sans"/>
          <w:spacing w:val="-3"/>
        </w:rPr>
        <w:t xml:space="preserve">Davis, </w:t>
      </w:r>
      <w:r w:rsidRPr="002A63BA">
        <w:rPr>
          <w:rFonts w:ascii="Open Sans" w:hAnsi="Open Sans" w:cs="Open Sans"/>
        </w:rPr>
        <w:t xml:space="preserve">G. B., Davis, F. D. (2003). User acceptance of information technology: Toward a </w:t>
      </w:r>
      <w:r w:rsidRPr="002A63BA">
        <w:rPr>
          <w:rFonts w:ascii="Open Sans" w:hAnsi="Open Sans" w:cs="Open Sans"/>
          <w:spacing w:val="-3"/>
        </w:rPr>
        <w:t xml:space="preserve">unified </w:t>
      </w:r>
      <w:r w:rsidRPr="002A63BA">
        <w:rPr>
          <w:rFonts w:ascii="Open Sans" w:hAnsi="Open Sans" w:cs="Open Sans"/>
        </w:rPr>
        <w:t xml:space="preserve">view. </w:t>
      </w:r>
      <w:r w:rsidRPr="002A63BA">
        <w:rPr>
          <w:rFonts w:ascii="Open Sans" w:hAnsi="Open Sans" w:cs="Open Sans"/>
          <w:i/>
          <w:iCs/>
        </w:rPr>
        <w:t>MIS quarterly</w:t>
      </w:r>
      <w:r w:rsidRPr="002A63BA">
        <w:rPr>
          <w:rFonts w:ascii="Open Sans" w:hAnsi="Open Sans" w:cs="Open Sans"/>
        </w:rPr>
        <w:t xml:space="preserve">, pp. 425-478. </w:t>
      </w:r>
      <w:hyperlink r:id="rId131" w:history="1">
        <w:r w:rsidRPr="002A63BA">
          <w:rPr>
            <w:rStyle w:val="Hiperveza"/>
            <w:rFonts w:ascii="Open Sans" w:hAnsi="Open Sans" w:cs="Open Sans"/>
            <w:spacing w:val="-6"/>
            <w:u w:val="none"/>
          </w:rPr>
          <w:t>doi: 10.2307/30036540</w:t>
        </w:r>
      </w:hyperlink>
      <w:r w:rsidRPr="002A63BA">
        <w:rPr>
          <w:rStyle w:val="Hiperveza"/>
          <w:rFonts w:ascii="Open Sans" w:hAnsi="Open Sans" w:cs="Open Sans"/>
          <w:spacing w:val="-6"/>
          <w:u w:val="none"/>
        </w:rPr>
        <w:t>.</w:t>
      </w:r>
    </w:p>
    <w:p w14:paraId="316311C6" w14:textId="77777777" w:rsidR="007C3C4B" w:rsidRPr="002A63BA" w:rsidRDefault="007C3C4B" w:rsidP="00FF3EE4">
      <w:pPr>
        <w:tabs>
          <w:tab w:val="left" w:pos="567"/>
        </w:tabs>
        <w:spacing w:line="276" w:lineRule="auto"/>
        <w:rPr>
          <w:rFonts w:ascii="Open Sans" w:hAnsi="Open Sans" w:cs="Open Sans"/>
        </w:rPr>
      </w:pPr>
    </w:p>
    <w:p w14:paraId="681EC718" w14:textId="77777777" w:rsidR="003C22BF" w:rsidRPr="002A63BA" w:rsidRDefault="003C22BF" w:rsidP="00FF3EE4">
      <w:pPr>
        <w:spacing w:line="276" w:lineRule="auto"/>
        <w:ind w:left="360"/>
        <w:rPr>
          <w:rFonts w:ascii="Open Sans" w:hAnsi="Open Sans" w:cs="Open Sans"/>
        </w:rPr>
      </w:pPr>
    </w:p>
    <w:sectPr w:rsidR="003C22BF" w:rsidRPr="002A63BA" w:rsidSect="0069311F">
      <w:footerReference w:type="default" r:id="rId132"/>
      <w:type w:val="continuous"/>
      <w:pgSz w:w="10318" w:h="14570" w:code="13"/>
      <w:pgMar w:top="1440" w:right="1440" w:bottom="1440" w:left="1440" w:header="708" w:footer="708"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97436" w14:textId="77777777" w:rsidR="008A6177" w:rsidRDefault="008A6177" w:rsidP="00E44477">
      <w:pPr>
        <w:spacing w:after="0" w:line="240" w:lineRule="auto"/>
      </w:pPr>
      <w:r>
        <w:separator/>
      </w:r>
    </w:p>
  </w:endnote>
  <w:endnote w:type="continuationSeparator" w:id="0">
    <w:p w14:paraId="22BB3432" w14:textId="77777777" w:rsidR="008A6177" w:rsidRDefault="008A6177" w:rsidP="00E44477">
      <w:pPr>
        <w:spacing w:after="0" w:line="240" w:lineRule="auto"/>
      </w:pPr>
      <w:r>
        <w:continuationSeparator/>
      </w:r>
    </w:p>
  </w:endnote>
  <w:endnote w:type="continuationNotice" w:id="1">
    <w:p w14:paraId="3834F9D6" w14:textId="77777777" w:rsidR="008A6177" w:rsidRDefault="008A61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altName w:val="Tahoma"/>
    <w:panose1 w:val="00000000000000000000"/>
    <w:charset w:val="EE"/>
    <w:family w:val="auto"/>
    <w:pitch w:val="variable"/>
    <w:sig w:usb0="E00002FF" w:usb1="4000201B" w:usb2="00000028"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5662528"/>
      <w:docPartObj>
        <w:docPartGallery w:val="Page Numbers (Bottom of Page)"/>
        <w:docPartUnique/>
      </w:docPartObj>
    </w:sdtPr>
    <w:sdtContent>
      <w:p w14:paraId="6FA67B00" w14:textId="04029C8B" w:rsidR="003A0B9B" w:rsidRDefault="00265F5A" w:rsidP="00265F5A">
        <w:pPr>
          <w:pStyle w:val="Podnoje"/>
          <w:jc w:val="center"/>
        </w:pPr>
        <w:r>
          <w:fldChar w:fldCharType="begin"/>
        </w:r>
        <w:r>
          <w:instrText>PAGE   \* MERGEFORMAT</w:instrText>
        </w:r>
        <w:r>
          <w:fldChar w:fldCharType="separate"/>
        </w:r>
        <w:r w:rsidR="00D226A4" w:rsidRPr="00D226A4">
          <w:rPr>
            <w:noProof/>
            <w:lang w:val="hr-HR"/>
          </w:rPr>
          <w:t>6</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932547"/>
      <w:docPartObj>
        <w:docPartGallery w:val="Page Numbers (Bottom of Page)"/>
        <w:docPartUnique/>
      </w:docPartObj>
    </w:sdtPr>
    <w:sdtContent>
      <w:p w14:paraId="38EBE3DD" w14:textId="04C44554" w:rsidR="00265F5A" w:rsidRDefault="00265F5A" w:rsidP="00265F5A">
        <w:pPr>
          <w:pStyle w:val="Podnoje"/>
          <w:jc w:val="center"/>
        </w:pPr>
        <w:r>
          <w:fldChar w:fldCharType="begin"/>
        </w:r>
        <w:r>
          <w:instrText>PAGE   \* MERGEFORMAT</w:instrText>
        </w:r>
        <w:r>
          <w:fldChar w:fldCharType="separate"/>
        </w:r>
        <w:r w:rsidR="00D226A4" w:rsidRPr="00D226A4">
          <w:rPr>
            <w:noProof/>
            <w:lang w:val="hr-HR"/>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D3B52" w14:textId="77777777" w:rsidR="008A6177" w:rsidRDefault="008A6177" w:rsidP="00E44477">
      <w:pPr>
        <w:spacing w:after="0" w:line="240" w:lineRule="auto"/>
      </w:pPr>
      <w:r>
        <w:separator/>
      </w:r>
    </w:p>
  </w:footnote>
  <w:footnote w:type="continuationSeparator" w:id="0">
    <w:p w14:paraId="03398707" w14:textId="77777777" w:rsidR="008A6177" w:rsidRDefault="008A6177" w:rsidP="00E44477">
      <w:pPr>
        <w:spacing w:after="0" w:line="240" w:lineRule="auto"/>
      </w:pPr>
      <w:r>
        <w:continuationSeparator/>
      </w:r>
    </w:p>
  </w:footnote>
  <w:footnote w:type="continuationNotice" w:id="1">
    <w:p w14:paraId="33738FB7" w14:textId="77777777" w:rsidR="008A6177" w:rsidRDefault="008A617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E374F"/>
    <w:multiLevelType w:val="hybridMultilevel"/>
    <w:tmpl w:val="308AA29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04334986"/>
    <w:multiLevelType w:val="hybridMultilevel"/>
    <w:tmpl w:val="964E97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FEB4A82"/>
    <w:multiLevelType w:val="hybridMultilevel"/>
    <w:tmpl w:val="46F6D1E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1273DAC"/>
    <w:multiLevelType w:val="hybridMultilevel"/>
    <w:tmpl w:val="105CDE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656800"/>
    <w:multiLevelType w:val="hybridMultilevel"/>
    <w:tmpl w:val="E10E7344"/>
    <w:lvl w:ilvl="0" w:tplc="715C7AB8">
      <w:start w:val="1"/>
      <w:numFmt w:val="decimal"/>
      <w:lvlText w:val="%1."/>
      <w:lvlJc w:val="left"/>
      <w:pPr>
        <w:ind w:left="480" w:hanging="360"/>
      </w:pPr>
      <w:rPr>
        <w:rFonts w:ascii="Open Sans" w:eastAsia="Times New Roman" w:hAnsi="Open Sans" w:cs="Open Sans" w:hint="default"/>
        <w:spacing w:val="-10"/>
        <w:w w:val="99"/>
        <w:sz w:val="24"/>
        <w:szCs w:val="24"/>
        <w:lang w:val="bs-Latn" w:eastAsia="en-US" w:bidi="ar-SA"/>
      </w:rPr>
    </w:lvl>
    <w:lvl w:ilvl="1" w:tplc="5C964544">
      <w:numFmt w:val="bullet"/>
      <w:lvlText w:val="•"/>
      <w:lvlJc w:val="left"/>
      <w:pPr>
        <w:ind w:left="960" w:hanging="360"/>
      </w:pPr>
      <w:rPr>
        <w:rFonts w:hint="default"/>
        <w:lang w:val="bs-Latn" w:eastAsia="en-US" w:bidi="ar-SA"/>
      </w:rPr>
    </w:lvl>
    <w:lvl w:ilvl="2" w:tplc="B9BCF538">
      <w:numFmt w:val="bullet"/>
      <w:lvlText w:val="•"/>
      <w:lvlJc w:val="left"/>
      <w:pPr>
        <w:ind w:left="2022" w:hanging="360"/>
      </w:pPr>
      <w:rPr>
        <w:rFonts w:hint="default"/>
        <w:lang w:val="bs-Latn" w:eastAsia="en-US" w:bidi="ar-SA"/>
      </w:rPr>
    </w:lvl>
    <w:lvl w:ilvl="3" w:tplc="147C4B8A">
      <w:numFmt w:val="bullet"/>
      <w:lvlText w:val="•"/>
      <w:lvlJc w:val="left"/>
      <w:pPr>
        <w:ind w:left="3084" w:hanging="360"/>
      </w:pPr>
      <w:rPr>
        <w:rFonts w:hint="default"/>
        <w:lang w:val="bs-Latn" w:eastAsia="en-US" w:bidi="ar-SA"/>
      </w:rPr>
    </w:lvl>
    <w:lvl w:ilvl="4" w:tplc="68FAC950">
      <w:numFmt w:val="bullet"/>
      <w:lvlText w:val="•"/>
      <w:lvlJc w:val="left"/>
      <w:pPr>
        <w:ind w:left="4146" w:hanging="360"/>
      </w:pPr>
      <w:rPr>
        <w:rFonts w:hint="default"/>
        <w:lang w:val="bs-Latn" w:eastAsia="en-US" w:bidi="ar-SA"/>
      </w:rPr>
    </w:lvl>
    <w:lvl w:ilvl="5" w:tplc="A1F81922">
      <w:numFmt w:val="bullet"/>
      <w:lvlText w:val="•"/>
      <w:lvlJc w:val="left"/>
      <w:pPr>
        <w:ind w:left="5208" w:hanging="360"/>
      </w:pPr>
      <w:rPr>
        <w:rFonts w:hint="default"/>
        <w:lang w:val="bs-Latn" w:eastAsia="en-US" w:bidi="ar-SA"/>
      </w:rPr>
    </w:lvl>
    <w:lvl w:ilvl="6" w:tplc="88A6ECDE">
      <w:numFmt w:val="bullet"/>
      <w:lvlText w:val="•"/>
      <w:lvlJc w:val="left"/>
      <w:pPr>
        <w:ind w:left="6271" w:hanging="360"/>
      </w:pPr>
      <w:rPr>
        <w:rFonts w:hint="default"/>
        <w:lang w:val="bs-Latn" w:eastAsia="en-US" w:bidi="ar-SA"/>
      </w:rPr>
    </w:lvl>
    <w:lvl w:ilvl="7" w:tplc="C00289F8">
      <w:numFmt w:val="bullet"/>
      <w:lvlText w:val="•"/>
      <w:lvlJc w:val="left"/>
      <w:pPr>
        <w:ind w:left="7333" w:hanging="360"/>
      </w:pPr>
      <w:rPr>
        <w:rFonts w:hint="default"/>
        <w:lang w:val="bs-Latn" w:eastAsia="en-US" w:bidi="ar-SA"/>
      </w:rPr>
    </w:lvl>
    <w:lvl w:ilvl="8" w:tplc="6860BC20">
      <w:numFmt w:val="bullet"/>
      <w:lvlText w:val="•"/>
      <w:lvlJc w:val="left"/>
      <w:pPr>
        <w:ind w:left="8395" w:hanging="360"/>
      </w:pPr>
      <w:rPr>
        <w:rFonts w:hint="default"/>
        <w:lang w:val="bs-Latn" w:eastAsia="en-US" w:bidi="ar-SA"/>
      </w:rPr>
    </w:lvl>
  </w:abstractNum>
  <w:abstractNum w:abstractNumId="5" w15:restartNumberingAfterBreak="0">
    <w:nsid w:val="21A02FEC"/>
    <w:multiLevelType w:val="hybridMultilevel"/>
    <w:tmpl w:val="62A23C44"/>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6" w15:restartNumberingAfterBreak="0">
    <w:nsid w:val="28EC2E09"/>
    <w:multiLevelType w:val="hybridMultilevel"/>
    <w:tmpl w:val="C340F9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AD9138A"/>
    <w:multiLevelType w:val="hybridMultilevel"/>
    <w:tmpl w:val="8E0A8D8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2BA465C1"/>
    <w:multiLevelType w:val="hybridMultilevel"/>
    <w:tmpl w:val="D1727FF0"/>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2DF84A3C"/>
    <w:multiLevelType w:val="hybridMultilevel"/>
    <w:tmpl w:val="4DC84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FDD6CF0"/>
    <w:multiLevelType w:val="multilevel"/>
    <w:tmpl w:val="52BEBC68"/>
    <w:lvl w:ilvl="0">
      <w:start w:val="1"/>
      <w:numFmt w:val="decimal"/>
      <w:pStyle w:val="NaslovSOR05"/>
      <w:lvlText w:val="%1 "/>
      <w:lvlJc w:val="left"/>
      <w:pPr>
        <w:tabs>
          <w:tab w:val="num" w:pos="284"/>
        </w:tabs>
        <w:ind w:left="284" w:hanging="284"/>
      </w:pPr>
      <w:rPr>
        <w:rFonts w:hint="default"/>
      </w:rPr>
    </w:lvl>
    <w:lvl w:ilvl="1">
      <w:start w:val="1"/>
      <w:numFmt w:val="decimal"/>
      <w:pStyle w:val="NaslovSOR0502"/>
      <w:lvlText w:val="%1.%2 "/>
      <w:lvlJc w:val="left"/>
      <w:pPr>
        <w:tabs>
          <w:tab w:val="num" w:pos="284"/>
        </w:tabs>
        <w:ind w:left="284" w:hanging="284"/>
      </w:pPr>
      <w:rPr>
        <w:rFonts w:hint="default"/>
      </w:rPr>
    </w:lvl>
    <w:lvl w:ilvl="2">
      <w:start w:val="1"/>
      <w:numFmt w:val="decimal"/>
      <w:lvlText w:val="%1.%2.%3 "/>
      <w:lvlJc w:val="left"/>
      <w:pPr>
        <w:tabs>
          <w:tab w:val="num" w:pos="1584"/>
        </w:tabs>
        <w:ind w:left="1584" w:hanging="504"/>
      </w:pPr>
      <w:rPr>
        <w:rFonts w:hint="default"/>
      </w:rPr>
    </w:lvl>
    <w:lvl w:ilvl="3">
      <w:start w:val="1"/>
      <w:numFmt w:val="decimal"/>
      <w:lvlText w:val="%1.%2.%3.%4 "/>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1" w15:restartNumberingAfterBreak="0">
    <w:nsid w:val="39B1008E"/>
    <w:multiLevelType w:val="hybridMultilevel"/>
    <w:tmpl w:val="EF3A0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10D4D9E"/>
    <w:multiLevelType w:val="hybridMultilevel"/>
    <w:tmpl w:val="C7C6AE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4CCA3217"/>
    <w:multiLevelType w:val="hybridMultilevel"/>
    <w:tmpl w:val="A66ABA40"/>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4F693043"/>
    <w:multiLevelType w:val="hybridMultilevel"/>
    <w:tmpl w:val="4CE45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D072CD1"/>
    <w:multiLevelType w:val="hybridMultilevel"/>
    <w:tmpl w:val="1B18C7D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5F922460"/>
    <w:multiLevelType w:val="hybridMultilevel"/>
    <w:tmpl w:val="02746DA0"/>
    <w:lvl w:ilvl="0" w:tplc="E9980FE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0E04DFD"/>
    <w:multiLevelType w:val="hybridMultilevel"/>
    <w:tmpl w:val="3B36E97E"/>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18" w15:restartNumberingAfterBreak="0">
    <w:nsid w:val="654A1812"/>
    <w:multiLevelType w:val="hybridMultilevel"/>
    <w:tmpl w:val="49B4E828"/>
    <w:lvl w:ilvl="0" w:tplc="344E1C48">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65F77B11"/>
    <w:multiLevelType w:val="multilevel"/>
    <w:tmpl w:val="E76CBD40"/>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520" w:hanging="44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6F228D2"/>
    <w:multiLevelType w:val="hybridMultilevel"/>
    <w:tmpl w:val="8DD6F21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678B1370"/>
    <w:multiLevelType w:val="hybridMultilevel"/>
    <w:tmpl w:val="470ABFD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67BE382D"/>
    <w:multiLevelType w:val="hybridMultilevel"/>
    <w:tmpl w:val="89364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855578B"/>
    <w:multiLevelType w:val="hybridMultilevel"/>
    <w:tmpl w:val="68EEF3DC"/>
    <w:lvl w:ilvl="0" w:tplc="FFFFFFFF">
      <w:start w:val="1"/>
      <w:numFmt w:val="upperRoman"/>
      <w:lvlText w:val="%1."/>
      <w:lvlJc w:val="right"/>
      <w:pPr>
        <w:ind w:left="1287" w:hanging="360"/>
      </w:pPr>
    </w:lvl>
    <w:lvl w:ilvl="1" w:tplc="0809000F">
      <w:start w:val="1"/>
      <w:numFmt w:val="decimal"/>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4" w15:restartNumberingAfterBreak="0">
    <w:nsid w:val="6984425B"/>
    <w:multiLevelType w:val="multilevel"/>
    <w:tmpl w:val="5E5A1162"/>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5" w15:restartNumberingAfterBreak="0">
    <w:nsid w:val="6BAC04AD"/>
    <w:multiLevelType w:val="hybridMultilevel"/>
    <w:tmpl w:val="2854721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6" w15:restartNumberingAfterBreak="0">
    <w:nsid w:val="7738779A"/>
    <w:multiLevelType w:val="multilevel"/>
    <w:tmpl w:val="77EC1FB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7A8F20B7"/>
    <w:multiLevelType w:val="hybridMultilevel"/>
    <w:tmpl w:val="8AFA1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13383278">
    <w:abstractNumId w:val="12"/>
  </w:num>
  <w:num w:numId="2" w16cid:durableId="434642845">
    <w:abstractNumId w:val="25"/>
  </w:num>
  <w:num w:numId="3" w16cid:durableId="92366582">
    <w:abstractNumId w:val="3"/>
  </w:num>
  <w:num w:numId="4" w16cid:durableId="752170534">
    <w:abstractNumId w:val="22"/>
  </w:num>
  <w:num w:numId="5" w16cid:durableId="102071838">
    <w:abstractNumId w:val="6"/>
  </w:num>
  <w:num w:numId="6" w16cid:durableId="719013962">
    <w:abstractNumId w:val="1"/>
  </w:num>
  <w:num w:numId="7" w16cid:durableId="1655523048">
    <w:abstractNumId w:val="26"/>
  </w:num>
  <w:num w:numId="8" w16cid:durableId="1447119023">
    <w:abstractNumId w:val="16"/>
  </w:num>
  <w:num w:numId="9" w16cid:durableId="1787918662">
    <w:abstractNumId w:val="19"/>
  </w:num>
  <w:num w:numId="10" w16cid:durableId="651371772">
    <w:abstractNumId w:val="24"/>
  </w:num>
  <w:num w:numId="11" w16cid:durableId="341707062">
    <w:abstractNumId w:val="7"/>
  </w:num>
  <w:num w:numId="12" w16cid:durableId="67002452">
    <w:abstractNumId w:val="23"/>
  </w:num>
  <w:num w:numId="13" w16cid:durableId="1690838007">
    <w:abstractNumId w:val="2"/>
  </w:num>
  <w:num w:numId="14" w16cid:durableId="835993487">
    <w:abstractNumId w:val="15"/>
  </w:num>
  <w:num w:numId="15" w16cid:durableId="1900167368">
    <w:abstractNumId w:val="27"/>
  </w:num>
  <w:num w:numId="16" w16cid:durableId="525993271">
    <w:abstractNumId w:val="9"/>
  </w:num>
  <w:num w:numId="17" w16cid:durableId="1317419310">
    <w:abstractNumId w:val="14"/>
  </w:num>
  <w:num w:numId="18" w16cid:durableId="1566911230">
    <w:abstractNumId w:val="11"/>
  </w:num>
  <w:num w:numId="19" w16cid:durableId="1856068590">
    <w:abstractNumId w:val="0"/>
  </w:num>
  <w:num w:numId="20" w16cid:durableId="468477705">
    <w:abstractNumId w:val="10"/>
  </w:num>
  <w:num w:numId="21" w16cid:durableId="350763490">
    <w:abstractNumId w:val="20"/>
  </w:num>
  <w:num w:numId="22" w16cid:durableId="634529124">
    <w:abstractNumId w:val="8"/>
  </w:num>
  <w:num w:numId="23" w16cid:durableId="543179616">
    <w:abstractNumId w:val="4"/>
  </w:num>
  <w:num w:numId="24" w16cid:durableId="1468663962">
    <w:abstractNumId w:val="17"/>
  </w:num>
  <w:num w:numId="25" w16cid:durableId="1908225941">
    <w:abstractNumId w:val="21"/>
  </w:num>
  <w:num w:numId="26" w16cid:durableId="356082614">
    <w:abstractNumId w:val="18"/>
  </w:num>
  <w:num w:numId="27" w16cid:durableId="94598430">
    <w:abstractNumId w:val="13"/>
  </w:num>
  <w:num w:numId="28" w16cid:durableId="891116876">
    <w:abstractNumId w:val="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2"/>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tDCysDQ1NzA1tDC1tDBV0lEKTi0uzszPAykwrwUAmVwDBywAAAA="/>
    <w:docVar w:name="EN.InstantFormat" w:val="&lt;ENInstantFormat&gt;&lt;Enabled&gt;0&lt;/Enabled&gt;&lt;ScanUnformatted&gt;1&lt;/ScanUnformatted&gt;&lt;ScanChanges&gt;1&lt;/ScanChanges&gt;&lt;Suspended&gt;0&lt;/Suspended&gt;&lt;/ENInstantFormat&gt;"/>
    <w:docVar w:name="EN.Layout" w:val="&lt;ENLayout&gt;&lt;Style&gt;APA 6th&lt;/Style&gt;&lt;LeftDelim&gt;{&lt;/LeftDelim&gt;&lt;RightDelim&gt;}&lt;/RightDelim&gt;&lt;FontName&gt;Calibri Light&lt;/FontName&gt;&lt;FontSize&gt;14&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xtppttv1tfpsqedswup2p2w5tvf59x5dt5d&quot;&gt;SmartCity&lt;record-ids&gt;&lt;item&gt;145&lt;/item&gt;&lt;item&gt;244&lt;/item&gt;&lt;item&gt;245&lt;/item&gt;&lt;item&gt;246&lt;/item&gt;&lt;item&gt;247&lt;/item&gt;&lt;item&gt;248&lt;/item&gt;&lt;item&gt;249&lt;/item&gt;&lt;item&gt;251&lt;/item&gt;&lt;item&gt;252&lt;/item&gt;&lt;item&gt;253&lt;/item&gt;&lt;item&gt;254&lt;/item&gt;&lt;item&gt;255&lt;/item&gt;&lt;item&gt;256&lt;/item&gt;&lt;item&gt;257&lt;/item&gt;&lt;item&gt;258&lt;/item&gt;&lt;item&gt;262&lt;/item&gt;&lt;item&gt;263&lt;/item&gt;&lt;item&gt;266&lt;/item&gt;&lt;item&gt;267&lt;/item&gt;&lt;item&gt;268&lt;/item&gt;&lt;item&gt;273&lt;/item&gt;&lt;item&gt;274&lt;/item&gt;&lt;item&gt;275&lt;/item&gt;&lt;item&gt;276&lt;/item&gt;&lt;item&gt;277&lt;/item&gt;&lt;item&gt;282&lt;/item&gt;&lt;item&gt;283&lt;/item&gt;&lt;item&gt;284&lt;/item&gt;&lt;item&gt;285&lt;/item&gt;&lt;item&gt;286&lt;/item&gt;&lt;item&gt;288&lt;/item&gt;&lt;item&gt;289&lt;/item&gt;&lt;item&gt;290&lt;/item&gt;&lt;item&gt;291&lt;/item&gt;&lt;item&gt;297&lt;/item&gt;&lt;item&gt;298&lt;/item&gt;&lt;item&gt;299&lt;/item&gt;&lt;item&gt;300&lt;/item&gt;&lt;/record-ids&gt;&lt;/item&gt;&lt;/Libraries&gt;"/>
  </w:docVars>
  <w:rsids>
    <w:rsidRoot w:val="002E0A37"/>
    <w:rsid w:val="0001085D"/>
    <w:rsid w:val="00013547"/>
    <w:rsid w:val="00013816"/>
    <w:rsid w:val="0002547F"/>
    <w:rsid w:val="000263E7"/>
    <w:rsid w:val="00046E5C"/>
    <w:rsid w:val="00055FBC"/>
    <w:rsid w:val="000571C7"/>
    <w:rsid w:val="00057A5F"/>
    <w:rsid w:val="00073452"/>
    <w:rsid w:val="00080FFE"/>
    <w:rsid w:val="00083D0E"/>
    <w:rsid w:val="000A46AB"/>
    <w:rsid w:val="000B0DB3"/>
    <w:rsid w:val="000B4323"/>
    <w:rsid w:val="000B4D71"/>
    <w:rsid w:val="000E5BF2"/>
    <w:rsid w:val="000E7EBC"/>
    <w:rsid w:val="000F3A5A"/>
    <w:rsid w:val="000F6DCC"/>
    <w:rsid w:val="00105815"/>
    <w:rsid w:val="001134DF"/>
    <w:rsid w:val="00113ADD"/>
    <w:rsid w:val="0013002B"/>
    <w:rsid w:val="00136179"/>
    <w:rsid w:val="00154A4A"/>
    <w:rsid w:val="00183FCA"/>
    <w:rsid w:val="001909EF"/>
    <w:rsid w:val="00191CAF"/>
    <w:rsid w:val="001A56A1"/>
    <w:rsid w:val="001A7FB9"/>
    <w:rsid w:val="001B7257"/>
    <w:rsid w:val="001C3798"/>
    <w:rsid w:val="001D1286"/>
    <w:rsid w:val="001D61DF"/>
    <w:rsid w:val="001D7CAB"/>
    <w:rsid w:val="001E0C2B"/>
    <w:rsid w:val="001E38A2"/>
    <w:rsid w:val="00200A25"/>
    <w:rsid w:val="0020727B"/>
    <w:rsid w:val="00210326"/>
    <w:rsid w:val="0022084A"/>
    <w:rsid w:val="002268D9"/>
    <w:rsid w:val="00233869"/>
    <w:rsid w:val="00236348"/>
    <w:rsid w:val="00265F5A"/>
    <w:rsid w:val="00276F82"/>
    <w:rsid w:val="0028386D"/>
    <w:rsid w:val="002A63BA"/>
    <w:rsid w:val="002B189C"/>
    <w:rsid w:val="002B4C9A"/>
    <w:rsid w:val="002C6FA9"/>
    <w:rsid w:val="002D72F8"/>
    <w:rsid w:val="002E0A37"/>
    <w:rsid w:val="002E44C3"/>
    <w:rsid w:val="002E71B6"/>
    <w:rsid w:val="0033243F"/>
    <w:rsid w:val="00335FA4"/>
    <w:rsid w:val="00340709"/>
    <w:rsid w:val="00342D9A"/>
    <w:rsid w:val="00342F28"/>
    <w:rsid w:val="00347DEA"/>
    <w:rsid w:val="00361150"/>
    <w:rsid w:val="00373016"/>
    <w:rsid w:val="003805F1"/>
    <w:rsid w:val="00381DA2"/>
    <w:rsid w:val="0038755D"/>
    <w:rsid w:val="003A0B9B"/>
    <w:rsid w:val="003B3312"/>
    <w:rsid w:val="003B5365"/>
    <w:rsid w:val="003C037C"/>
    <w:rsid w:val="003C22BF"/>
    <w:rsid w:val="003C2381"/>
    <w:rsid w:val="003D7B80"/>
    <w:rsid w:val="003F08F9"/>
    <w:rsid w:val="004026CC"/>
    <w:rsid w:val="00402DD3"/>
    <w:rsid w:val="00407C12"/>
    <w:rsid w:val="00413DB8"/>
    <w:rsid w:val="00433826"/>
    <w:rsid w:val="00443039"/>
    <w:rsid w:val="00446FE7"/>
    <w:rsid w:val="00450EB2"/>
    <w:rsid w:val="0046396B"/>
    <w:rsid w:val="00483216"/>
    <w:rsid w:val="004A6917"/>
    <w:rsid w:val="004C5A8B"/>
    <w:rsid w:val="004D27A2"/>
    <w:rsid w:val="004D7B30"/>
    <w:rsid w:val="00502CB5"/>
    <w:rsid w:val="00504B43"/>
    <w:rsid w:val="00581AF4"/>
    <w:rsid w:val="00591179"/>
    <w:rsid w:val="0059155B"/>
    <w:rsid w:val="005A537D"/>
    <w:rsid w:val="005B1A5A"/>
    <w:rsid w:val="005B1B73"/>
    <w:rsid w:val="00601A10"/>
    <w:rsid w:val="0061117C"/>
    <w:rsid w:val="00637E20"/>
    <w:rsid w:val="006406F6"/>
    <w:rsid w:val="00665BF3"/>
    <w:rsid w:val="00682AFE"/>
    <w:rsid w:val="00684A78"/>
    <w:rsid w:val="0069311F"/>
    <w:rsid w:val="006B4409"/>
    <w:rsid w:val="006E3D9F"/>
    <w:rsid w:val="006E669E"/>
    <w:rsid w:val="006E7045"/>
    <w:rsid w:val="006E7CC9"/>
    <w:rsid w:val="006F0B57"/>
    <w:rsid w:val="00702DAE"/>
    <w:rsid w:val="00704E25"/>
    <w:rsid w:val="007057C0"/>
    <w:rsid w:val="007157D4"/>
    <w:rsid w:val="00716D30"/>
    <w:rsid w:val="007240BE"/>
    <w:rsid w:val="00724AB4"/>
    <w:rsid w:val="007369B4"/>
    <w:rsid w:val="00737ACF"/>
    <w:rsid w:val="00741B01"/>
    <w:rsid w:val="0078060B"/>
    <w:rsid w:val="0078627C"/>
    <w:rsid w:val="007B0AC5"/>
    <w:rsid w:val="007B1C55"/>
    <w:rsid w:val="007C07C6"/>
    <w:rsid w:val="007C204F"/>
    <w:rsid w:val="007C3C4B"/>
    <w:rsid w:val="007F31B6"/>
    <w:rsid w:val="00817568"/>
    <w:rsid w:val="00842A06"/>
    <w:rsid w:val="00860AC2"/>
    <w:rsid w:val="00871E9C"/>
    <w:rsid w:val="00883459"/>
    <w:rsid w:val="00895EB4"/>
    <w:rsid w:val="008A1C9D"/>
    <w:rsid w:val="008A5B76"/>
    <w:rsid w:val="008A6177"/>
    <w:rsid w:val="008D015D"/>
    <w:rsid w:val="008E099D"/>
    <w:rsid w:val="008E4125"/>
    <w:rsid w:val="008F2C12"/>
    <w:rsid w:val="008F3808"/>
    <w:rsid w:val="00915817"/>
    <w:rsid w:val="00923F00"/>
    <w:rsid w:val="00924DA9"/>
    <w:rsid w:val="00941EF1"/>
    <w:rsid w:val="00986B0F"/>
    <w:rsid w:val="009945FE"/>
    <w:rsid w:val="009A0B86"/>
    <w:rsid w:val="009A420D"/>
    <w:rsid w:val="009C0EEA"/>
    <w:rsid w:val="009C2FAE"/>
    <w:rsid w:val="009D1534"/>
    <w:rsid w:val="009E5702"/>
    <w:rsid w:val="00A002EB"/>
    <w:rsid w:val="00A06A62"/>
    <w:rsid w:val="00A07F19"/>
    <w:rsid w:val="00A15C95"/>
    <w:rsid w:val="00A175A2"/>
    <w:rsid w:val="00A2166C"/>
    <w:rsid w:val="00A3320D"/>
    <w:rsid w:val="00A4183B"/>
    <w:rsid w:val="00A47023"/>
    <w:rsid w:val="00A47EE8"/>
    <w:rsid w:val="00A840F5"/>
    <w:rsid w:val="00A976BA"/>
    <w:rsid w:val="00AB3553"/>
    <w:rsid w:val="00AB3BDA"/>
    <w:rsid w:val="00AC4560"/>
    <w:rsid w:val="00AC4BB4"/>
    <w:rsid w:val="00AC602A"/>
    <w:rsid w:val="00AD5514"/>
    <w:rsid w:val="00AD621F"/>
    <w:rsid w:val="00AD6ED4"/>
    <w:rsid w:val="00AE101A"/>
    <w:rsid w:val="00AF4603"/>
    <w:rsid w:val="00B0048F"/>
    <w:rsid w:val="00B22368"/>
    <w:rsid w:val="00B37F83"/>
    <w:rsid w:val="00B451B8"/>
    <w:rsid w:val="00B74EE2"/>
    <w:rsid w:val="00B825DF"/>
    <w:rsid w:val="00B84FBC"/>
    <w:rsid w:val="00B8639B"/>
    <w:rsid w:val="00B97C2C"/>
    <w:rsid w:val="00BA0335"/>
    <w:rsid w:val="00BA476B"/>
    <w:rsid w:val="00BA7CA1"/>
    <w:rsid w:val="00BB5568"/>
    <w:rsid w:val="00BD2FE6"/>
    <w:rsid w:val="00BD34AD"/>
    <w:rsid w:val="00BE6FB0"/>
    <w:rsid w:val="00BF3B91"/>
    <w:rsid w:val="00C27011"/>
    <w:rsid w:val="00C27553"/>
    <w:rsid w:val="00C400E4"/>
    <w:rsid w:val="00C53B5E"/>
    <w:rsid w:val="00C6141A"/>
    <w:rsid w:val="00C62D38"/>
    <w:rsid w:val="00C90B4A"/>
    <w:rsid w:val="00CB67EC"/>
    <w:rsid w:val="00D1486D"/>
    <w:rsid w:val="00D22056"/>
    <w:rsid w:val="00D226A4"/>
    <w:rsid w:val="00D50449"/>
    <w:rsid w:val="00D50F67"/>
    <w:rsid w:val="00D62BF2"/>
    <w:rsid w:val="00D66C51"/>
    <w:rsid w:val="00D747C6"/>
    <w:rsid w:val="00D74972"/>
    <w:rsid w:val="00D85E68"/>
    <w:rsid w:val="00D927C4"/>
    <w:rsid w:val="00D95614"/>
    <w:rsid w:val="00DA324A"/>
    <w:rsid w:val="00DA664A"/>
    <w:rsid w:val="00DB1CD5"/>
    <w:rsid w:val="00DC0CB3"/>
    <w:rsid w:val="00DC112B"/>
    <w:rsid w:val="00DE45EF"/>
    <w:rsid w:val="00DF38E5"/>
    <w:rsid w:val="00E05D20"/>
    <w:rsid w:val="00E108EB"/>
    <w:rsid w:val="00E32DD2"/>
    <w:rsid w:val="00E41773"/>
    <w:rsid w:val="00E44477"/>
    <w:rsid w:val="00E5333B"/>
    <w:rsid w:val="00E544AB"/>
    <w:rsid w:val="00E87594"/>
    <w:rsid w:val="00EA15CB"/>
    <w:rsid w:val="00EA2EF9"/>
    <w:rsid w:val="00EA3B9E"/>
    <w:rsid w:val="00EA4282"/>
    <w:rsid w:val="00EB1C0E"/>
    <w:rsid w:val="00ED2F09"/>
    <w:rsid w:val="00ED3327"/>
    <w:rsid w:val="00EE5447"/>
    <w:rsid w:val="00F05ECC"/>
    <w:rsid w:val="00F36AEF"/>
    <w:rsid w:val="00F848CC"/>
    <w:rsid w:val="00F873BF"/>
    <w:rsid w:val="00F936AA"/>
    <w:rsid w:val="00FA5A2E"/>
    <w:rsid w:val="00FA7CC1"/>
    <w:rsid w:val="00FC4244"/>
    <w:rsid w:val="00FC5779"/>
    <w:rsid w:val="00FE45FA"/>
    <w:rsid w:val="00FF3EE4"/>
    <w:rsid w:val="04E25D85"/>
    <w:rsid w:val="07792027"/>
    <w:rsid w:val="0E893FCB"/>
    <w:rsid w:val="1157AFFC"/>
    <w:rsid w:val="19499984"/>
    <w:rsid w:val="1FA2435C"/>
    <w:rsid w:val="236199E1"/>
    <w:rsid w:val="26E560E0"/>
    <w:rsid w:val="31DBED4A"/>
    <w:rsid w:val="38899959"/>
    <w:rsid w:val="3AC199C5"/>
    <w:rsid w:val="41B38025"/>
    <w:rsid w:val="47435F42"/>
    <w:rsid w:val="480C29FD"/>
    <w:rsid w:val="4C738DF0"/>
    <w:rsid w:val="4CC672C3"/>
    <w:rsid w:val="4D6750E3"/>
    <w:rsid w:val="4E0F5E51"/>
    <w:rsid w:val="6237BD73"/>
    <w:rsid w:val="6398250E"/>
    <w:rsid w:val="699AC1EA"/>
    <w:rsid w:val="69C0766A"/>
    <w:rsid w:val="6F1E2E01"/>
    <w:rsid w:val="6F3B2BAD"/>
    <w:rsid w:val="70192042"/>
    <w:rsid w:val="7255CEC3"/>
    <w:rsid w:val="73D8E87A"/>
    <w:rsid w:val="77FBECF6"/>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9C06F"/>
  <w15:chartTrackingRefBased/>
  <w15:docId w15:val="{9CAB39B9-983D-4031-A2E0-DAD673F808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5614"/>
    <w:pPr>
      <w:jc w:val="both"/>
    </w:pPr>
    <w:rPr>
      <w:lang w:val="en-GB"/>
    </w:rPr>
  </w:style>
  <w:style w:type="paragraph" w:styleId="Naslov1">
    <w:name w:val="heading 1"/>
    <w:basedOn w:val="Normal"/>
    <w:next w:val="Normal"/>
    <w:link w:val="Naslov1Char"/>
    <w:uiPriority w:val="1"/>
    <w:qFormat/>
    <w:rsid w:val="000E7EBC"/>
    <w:pPr>
      <w:keepNext/>
      <w:keepLines/>
      <w:spacing w:before="240" w:after="240"/>
      <w:outlineLvl w:val="0"/>
    </w:pPr>
    <w:rPr>
      <w:rFonts w:asciiTheme="majorHAnsi" w:eastAsiaTheme="majorEastAsia" w:hAnsiTheme="majorHAnsi" w:cstheme="majorBidi"/>
      <w:b/>
      <w:caps/>
      <w:color w:val="000000" w:themeColor="text1"/>
      <w:sz w:val="28"/>
      <w:szCs w:val="32"/>
    </w:rPr>
  </w:style>
  <w:style w:type="paragraph" w:styleId="Naslov2">
    <w:name w:val="heading 2"/>
    <w:basedOn w:val="Naslov1"/>
    <w:next w:val="Normal"/>
    <w:link w:val="Naslov2Char"/>
    <w:uiPriority w:val="9"/>
    <w:unhideWhenUsed/>
    <w:qFormat/>
    <w:rsid w:val="00361150"/>
    <w:pPr>
      <w:outlineLvl w:val="1"/>
    </w:pPr>
    <w:rPr>
      <w:caps w:val="0"/>
      <w:sz w:val="24"/>
    </w:rPr>
  </w:style>
  <w:style w:type="paragraph" w:styleId="Naslov3">
    <w:name w:val="heading 3"/>
    <w:basedOn w:val="Normal"/>
    <w:next w:val="Normal"/>
    <w:link w:val="Naslov3Char"/>
    <w:uiPriority w:val="9"/>
    <w:unhideWhenUsed/>
    <w:qFormat/>
    <w:rsid w:val="00D95614"/>
    <w:pPr>
      <w:outlineLvl w:val="2"/>
    </w:pPr>
    <w:rPr>
      <w:b/>
      <w:i/>
    </w:rPr>
  </w:style>
  <w:style w:type="paragraph" w:styleId="Naslov4">
    <w:name w:val="heading 4"/>
    <w:basedOn w:val="Naslov3"/>
    <w:next w:val="Normal"/>
    <w:link w:val="Naslov4Char"/>
    <w:uiPriority w:val="9"/>
    <w:unhideWhenUsed/>
    <w:qFormat/>
    <w:rsid w:val="00702DAE"/>
    <w:pPr>
      <w:outlineLvl w:val="3"/>
    </w:pPr>
    <w:rPr>
      <w:b w:val="0"/>
      <w:u w:val="single"/>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1"/>
    <w:rsid w:val="000E7EBC"/>
    <w:rPr>
      <w:rFonts w:asciiTheme="majorHAnsi" w:eastAsiaTheme="majorEastAsia" w:hAnsiTheme="majorHAnsi" w:cstheme="majorBidi"/>
      <w:b/>
      <w:caps/>
      <w:color w:val="000000" w:themeColor="text1"/>
      <w:sz w:val="28"/>
      <w:szCs w:val="32"/>
      <w:lang w:val="en-GB"/>
    </w:rPr>
  </w:style>
  <w:style w:type="character" w:customStyle="1" w:styleId="Naslov2Char">
    <w:name w:val="Naslov 2 Char"/>
    <w:basedOn w:val="Zadanifontodlomka"/>
    <w:link w:val="Naslov2"/>
    <w:uiPriority w:val="9"/>
    <w:rsid w:val="00361150"/>
    <w:rPr>
      <w:rFonts w:asciiTheme="majorHAnsi" w:eastAsiaTheme="majorEastAsia" w:hAnsiTheme="majorHAnsi" w:cstheme="majorBidi"/>
      <w:b/>
      <w:color w:val="000000" w:themeColor="text1"/>
      <w:sz w:val="24"/>
      <w:szCs w:val="32"/>
      <w:lang w:val="en-GB"/>
    </w:rPr>
  </w:style>
  <w:style w:type="paragraph" w:customStyle="1" w:styleId="EndNoteBibliographyTitle">
    <w:name w:val="EndNote Bibliography Title"/>
    <w:basedOn w:val="Normal"/>
    <w:link w:val="EndNoteBibliographyTitleChar"/>
    <w:rsid w:val="000F3A5A"/>
    <w:pPr>
      <w:spacing w:after="0"/>
      <w:jc w:val="center"/>
    </w:pPr>
    <w:rPr>
      <w:rFonts w:ascii="Calibri Light" w:hAnsi="Calibri Light" w:cs="Calibri Light"/>
      <w:noProof/>
      <w:sz w:val="28"/>
      <w:lang w:val="en-US"/>
    </w:rPr>
  </w:style>
  <w:style w:type="character" w:customStyle="1" w:styleId="EndNoteBibliographyTitleChar">
    <w:name w:val="EndNote Bibliography Title Char"/>
    <w:basedOn w:val="Zadanifontodlomka"/>
    <w:link w:val="EndNoteBibliographyTitle"/>
    <w:rsid w:val="000F3A5A"/>
    <w:rPr>
      <w:rFonts w:ascii="Calibri Light" w:hAnsi="Calibri Light" w:cs="Calibri Light"/>
      <w:noProof/>
      <w:sz w:val="28"/>
      <w:lang w:val="en-US"/>
    </w:rPr>
  </w:style>
  <w:style w:type="paragraph" w:customStyle="1" w:styleId="EndNoteBibliography">
    <w:name w:val="EndNote Bibliography"/>
    <w:basedOn w:val="Normal"/>
    <w:link w:val="EndNoteBibliographyChar"/>
    <w:rsid w:val="000F3A5A"/>
    <w:pPr>
      <w:spacing w:line="240" w:lineRule="auto"/>
    </w:pPr>
    <w:rPr>
      <w:rFonts w:ascii="Calibri Light" w:hAnsi="Calibri Light" w:cs="Calibri Light"/>
      <w:noProof/>
      <w:sz w:val="28"/>
      <w:lang w:val="en-US"/>
    </w:rPr>
  </w:style>
  <w:style w:type="character" w:customStyle="1" w:styleId="EndNoteBibliographyChar">
    <w:name w:val="EndNote Bibliography Char"/>
    <w:basedOn w:val="Zadanifontodlomka"/>
    <w:link w:val="EndNoteBibliography"/>
    <w:rsid w:val="000F3A5A"/>
    <w:rPr>
      <w:rFonts w:ascii="Calibri Light" w:hAnsi="Calibri Light" w:cs="Calibri Light"/>
      <w:noProof/>
      <w:sz w:val="28"/>
      <w:lang w:val="en-US"/>
    </w:rPr>
  </w:style>
  <w:style w:type="paragraph" w:styleId="Odlomakpopisa">
    <w:name w:val="List Paragraph"/>
    <w:basedOn w:val="Normal"/>
    <w:uiPriority w:val="34"/>
    <w:qFormat/>
    <w:rsid w:val="000E5BF2"/>
    <w:pPr>
      <w:ind w:left="720"/>
      <w:contextualSpacing/>
    </w:pPr>
  </w:style>
  <w:style w:type="character" w:customStyle="1" w:styleId="Naslov3Char">
    <w:name w:val="Naslov 3 Char"/>
    <w:basedOn w:val="Zadanifontodlomka"/>
    <w:link w:val="Naslov3"/>
    <w:uiPriority w:val="9"/>
    <w:rsid w:val="00D95614"/>
    <w:rPr>
      <w:b/>
      <w:i/>
      <w:lang w:val="en-GB"/>
    </w:rPr>
  </w:style>
  <w:style w:type="character" w:customStyle="1" w:styleId="Naslov4Char">
    <w:name w:val="Naslov 4 Char"/>
    <w:basedOn w:val="Zadanifontodlomka"/>
    <w:link w:val="Naslov4"/>
    <w:uiPriority w:val="9"/>
    <w:rsid w:val="00702DAE"/>
    <w:rPr>
      <w:i/>
      <w:u w:val="single"/>
      <w:lang w:val="en-GB"/>
    </w:rPr>
  </w:style>
  <w:style w:type="paragraph" w:styleId="Opisslike">
    <w:name w:val="caption"/>
    <w:basedOn w:val="Normal"/>
    <w:next w:val="Normal"/>
    <w:uiPriority w:val="35"/>
    <w:unhideWhenUsed/>
    <w:qFormat/>
    <w:rsid w:val="003C037C"/>
    <w:pPr>
      <w:spacing w:after="200" w:line="240" w:lineRule="auto"/>
    </w:pPr>
    <w:rPr>
      <w:i/>
      <w:iCs/>
      <w:color w:val="44546A" w:themeColor="text2"/>
      <w:sz w:val="18"/>
      <w:szCs w:val="18"/>
    </w:rPr>
  </w:style>
  <w:style w:type="paragraph" w:styleId="Zaglavlje">
    <w:name w:val="header"/>
    <w:basedOn w:val="Normal"/>
    <w:link w:val="ZaglavljeChar"/>
    <w:uiPriority w:val="99"/>
    <w:unhideWhenUsed/>
    <w:rsid w:val="00E44477"/>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E44477"/>
    <w:rPr>
      <w:lang w:val="en-GB"/>
    </w:rPr>
  </w:style>
  <w:style w:type="paragraph" w:styleId="Podnoje">
    <w:name w:val="footer"/>
    <w:basedOn w:val="Normal"/>
    <w:link w:val="PodnojeChar"/>
    <w:uiPriority w:val="99"/>
    <w:unhideWhenUsed/>
    <w:rsid w:val="00E44477"/>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E44477"/>
    <w:rPr>
      <w:lang w:val="en-GB"/>
    </w:rPr>
  </w:style>
  <w:style w:type="character" w:styleId="Hiperveza">
    <w:name w:val="Hyperlink"/>
    <w:basedOn w:val="Zadanifontodlomka"/>
    <w:uiPriority w:val="99"/>
    <w:unhideWhenUsed/>
    <w:rsid w:val="007B0AC5"/>
    <w:rPr>
      <w:color w:val="0563C1" w:themeColor="hyperlink"/>
      <w:u w:val="single"/>
    </w:rPr>
  </w:style>
  <w:style w:type="character" w:styleId="Referencakomentara">
    <w:name w:val="annotation reference"/>
    <w:basedOn w:val="Zadanifontodlomka"/>
    <w:semiHidden/>
    <w:unhideWhenUsed/>
    <w:rsid w:val="00A3320D"/>
    <w:rPr>
      <w:sz w:val="16"/>
      <w:szCs w:val="16"/>
    </w:rPr>
  </w:style>
  <w:style w:type="paragraph" w:styleId="Tekstkomentara">
    <w:name w:val="annotation text"/>
    <w:basedOn w:val="Normal"/>
    <w:link w:val="TekstkomentaraChar"/>
    <w:unhideWhenUsed/>
    <w:rsid w:val="00A3320D"/>
    <w:pPr>
      <w:spacing w:line="240" w:lineRule="auto"/>
    </w:pPr>
    <w:rPr>
      <w:sz w:val="20"/>
      <w:szCs w:val="20"/>
    </w:rPr>
  </w:style>
  <w:style w:type="character" w:customStyle="1" w:styleId="TekstkomentaraChar">
    <w:name w:val="Tekst komentara Char"/>
    <w:basedOn w:val="Zadanifontodlomka"/>
    <w:link w:val="Tekstkomentara"/>
    <w:rsid w:val="00A3320D"/>
    <w:rPr>
      <w:sz w:val="20"/>
      <w:szCs w:val="20"/>
      <w:lang w:val="en-GB"/>
    </w:rPr>
  </w:style>
  <w:style w:type="paragraph" w:styleId="Predmetkomentara">
    <w:name w:val="annotation subject"/>
    <w:basedOn w:val="Tekstkomentara"/>
    <w:next w:val="Tekstkomentara"/>
    <w:link w:val="PredmetkomentaraChar"/>
    <w:semiHidden/>
    <w:unhideWhenUsed/>
    <w:rsid w:val="00A3320D"/>
    <w:rPr>
      <w:b/>
      <w:bCs/>
    </w:rPr>
  </w:style>
  <w:style w:type="character" w:customStyle="1" w:styleId="PredmetkomentaraChar">
    <w:name w:val="Predmet komentara Char"/>
    <w:basedOn w:val="TekstkomentaraChar"/>
    <w:link w:val="Predmetkomentara"/>
    <w:semiHidden/>
    <w:rsid w:val="00A3320D"/>
    <w:rPr>
      <w:b/>
      <w:bCs/>
      <w:sz w:val="20"/>
      <w:szCs w:val="20"/>
      <w:lang w:val="en-GB"/>
    </w:rPr>
  </w:style>
  <w:style w:type="paragraph" w:styleId="Tekstbalonia">
    <w:name w:val="Balloon Text"/>
    <w:basedOn w:val="Normal"/>
    <w:link w:val="TekstbaloniaChar"/>
    <w:uiPriority w:val="99"/>
    <w:semiHidden/>
    <w:unhideWhenUsed/>
    <w:rsid w:val="00A3320D"/>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A3320D"/>
    <w:rPr>
      <w:rFonts w:ascii="Segoe UI" w:hAnsi="Segoe UI" w:cs="Segoe UI"/>
      <w:sz w:val="18"/>
      <w:szCs w:val="18"/>
      <w:lang w:val="en-GB"/>
    </w:rPr>
  </w:style>
  <w:style w:type="character" w:customStyle="1" w:styleId="normaltextrun">
    <w:name w:val="normaltextrun"/>
    <w:basedOn w:val="Zadanifontodlomka"/>
    <w:rsid w:val="00154A4A"/>
  </w:style>
  <w:style w:type="character" w:customStyle="1" w:styleId="eop">
    <w:name w:val="eop"/>
    <w:basedOn w:val="Zadanifontodlomka"/>
    <w:rsid w:val="00154A4A"/>
  </w:style>
  <w:style w:type="character" w:customStyle="1" w:styleId="contentcontrolboundarysink">
    <w:name w:val="contentcontrolboundarysink"/>
    <w:basedOn w:val="Zadanifontodlomka"/>
    <w:rsid w:val="00446FE7"/>
  </w:style>
  <w:style w:type="character" w:customStyle="1" w:styleId="contentcontrol">
    <w:name w:val="contentcontrol"/>
    <w:basedOn w:val="Zadanifontodlomka"/>
    <w:rsid w:val="00446FE7"/>
  </w:style>
  <w:style w:type="table" w:styleId="Reetkatablice">
    <w:name w:val="Table Grid"/>
    <w:basedOn w:val="Obinatablica"/>
    <w:uiPriority w:val="39"/>
    <w:rsid w:val="003C22BF"/>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Normal"/>
    <w:uiPriority w:val="99"/>
    <w:semiHidden/>
    <w:unhideWhenUsed/>
    <w:rsid w:val="003C22BF"/>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styleId="SlijeenaHiperveza">
    <w:name w:val="FollowedHyperlink"/>
    <w:basedOn w:val="Zadanifontodlomka"/>
    <w:uiPriority w:val="99"/>
    <w:semiHidden/>
    <w:unhideWhenUsed/>
    <w:rsid w:val="003C22BF"/>
    <w:rPr>
      <w:color w:val="954F72" w:themeColor="followedHyperlink"/>
      <w:u w:val="single"/>
    </w:rPr>
  </w:style>
  <w:style w:type="paragraph" w:styleId="TOCNaslov">
    <w:name w:val="TOC Heading"/>
    <w:basedOn w:val="Naslov1"/>
    <w:next w:val="Normal"/>
    <w:uiPriority w:val="39"/>
    <w:unhideWhenUsed/>
    <w:qFormat/>
    <w:rsid w:val="003C22BF"/>
    <w:pPr>
      <w:spacing w:after="0"/>
      <w:jc w:val="left"/>
      <w:outlineLvl w:val="9"/>
    </w:pPr>
    <w:rPr>
      <w:b w:val="0"/>
      <w:caps w:val="0"/>
      <w:color w:val="2E74B5" w:themeColor="accent1" w:themeShade="BF"/>
      <w:sz w:val="32"/>
      <w:lang w:val="en-US"/>
    </w:rPr>
  </w:style>
  <w:style w:type="paragraph" w:styleId="Sadraj1">
    <w:name w:val="toc 1"/>
    <w:basedOn w:val="Normal"/>
    <w:next w:val="Normal"/>
    <w:autoRedefine/>
    <w:uiPriority w:val="39"/>
    <w:unhideWhenUsed/>
    <w:rsid w:val="003C22BF"/>
    <w:pPr>
      <w:tabs>
        <w:tab w:val="left" w:pos="440"/>
        <w:tab w:val="right" w:leader="dot" w:pos="9060"/>
      </w:tabs>
      <w:spacing w:after="100"/>
      <w:jc w:val="left"/>
    </w:pPr>
    <w:rPr>
      <w:rFonts w:ascii="Times New Roman" w:hAnsi="Times New Roman" w:cs="Times New Roman"/>
      <w:b/>
      <w:noProof/>
      <w:sz w:val="24"/>
      <w:szCs w:val="24"/>
    </w:rPr>
  </w:style>
  <w:style w:type="paragraph" w:styleId="Sadraj2">
    <w:name w:val="toc 2"/>
    <w:basedOn w:val="Normal"/>
    <w:next w:val="Normal"/>
    <w:autoRedefine/>
    <w:uiPriority w:val="39"/>
    <w:unhideWhenUsed/>
    <w:rsid w:val="003C22BF"/>
    <w:pPr>
      <w:spacing w:after="100"/>
      <w:ind w:left="220"/>
      <w:jc w:val="left"/>
    </w:pPr>
    <w:rPr>
      <w:lang w:val="en-US"/>
    </w:rPr>
  </w:style>
  <w:style w:type="character" w:styleId="Istaknuto">
    <w:name w:val="Emphasis"/>
    <w:basedOn w:val="Zadanifontodlomka"/>
    <w:uiPriority w:val="20"/>
    <w:qFormat/>
    <w:rsid w:val="003C22BF"/>
    <w:rPr>
      <w:i/>
      <w:iCs/>
    </w:rPr>
  </w:style>
  <w:style w:type="paragraph" w:customStyle="1" w:styleId="heading1">
    <w:name w:val="heading1"/>
    <w:basedOn w:val="Normal"/>
    <w:next w:val="p1a"/>
    <w:qFormat/>
    <w:rsid w:val="00AE101A"/>
    <w:pPr>
      <w:keepNext/>
      <w:keepLines/>
      <w:numPr>
        <w:numId w:val="7"/>
      </w:numPr>
      <w:suppressAutoHyphens/>
      <w:overflowPunct w:val="0"/>
      <w:autoSpaceDE w:val="0"/>
      <w:autoSpaceDN w:val="0"/>
      <w:adjustRightInd w:val="0"/>
      <w:spacing w:before="360" w:after="240" w:line="300" w:lineRule="atLeast"/>
      <w:jc w:val="left"/>
      <w:textAlignment w:val="baseline"/>
      <w:outlineLvl w:val="0"/>
    </w:pPr>
    <w:rPr>
      <w:rFonts w:ascii="Times New Roman" w:eastAsia="Times New Roman" w:hAnsi="Times New Roman" w:cs="Times New Roman"/>
      <w:b/>
      <w:sz w:val="24"/>
      <w:szCs w:val="20"/>
      <w:lang w:val="en-US"/>
    </w:rPr>
  </w:style>
  <w:style w:type="paragraph" w:customStyle="1" w:styleId="heading2">
    <w:name w:val="heading2"/>
    <w:basedOn w:val="Normal"/>
    <w:next w:val="p1a"/>
    <w:link w:val="heading2Char"/>
    <w:qFormat/>
    <w:rsid w:val="00AE101A"/>
    <w:pPr>
      <w:keepNext/>
      <w:keepLines/>
      <w:numPr>
        <w:ilvl w:val="1"/>
        <w:numId w:val="7"/>
      </w:numPr>
      <w:suppressAutoHyphens/>
      <w:overflowPunct w:val="0"/>
      <w:autoSpaceDE w:val="0"/>
      <w:autoSpaceDN w:val="0"/>
      <w:adjustRightInd w:val="0"/>
      <w:spacing w:before="360" w:line="240" w:lineRule="atLeast"/>
      <w:jc w:val="left"/>
      <w:textAlignment w:val="baseline"/>
      <w:outlineLvl w:val="1"/>
    </w:pPr>
    <w:rPr>
      <w:rFonts w:ascii="Times New Roman" w:eastAsia="Times New Roman" w:hAnsi="Times New Roman" w:cs="Times New Roman"/>
      <w:b/>
      <w:sz w:val="20"/>
      <w:szCs w:val="20"/>
      <w:lang w:val="en-US"/>
    </w:rPr>
  </w:style>
  <w:style w:type="numbering" w:customStyle="1" w:styleId="headings">
    <w:name w:val="headings"/>
    <w:basedOn w:val="Bezpopisa"/>
    <w:rsid w:val="00AE101A"/>
    <w:pPr>
      <w:numPr>
        <w:numId w:val="7"/>
      </w:numPr>
    </w:pPr>
  </w:style>
  <w:style w:type="paragraph" w:customStyle="1" w:styleId="p1a">
    <w:name w:val="p1a"/>
    <w:basedOn w:val="Normal"/>
    <w:next w:val="Normal"/>
    <w:rsid w:val="00AE101A"/>
    <w:pPr>
      <w:overflowPunct w:val="0"/>
      <w:autoSpaceDE w:val="0"/>
      <w:autoSpaceDN w:val="0"/>
      <w:adjustRightInd w:val="0"/>
      <w:spacing w:after="0" w:line="240" w:lineRule="atLeast"/>
      <w:textAlignment w:val="baseline"/>
    </w:pPr>
    <w:rPr>
      <w:rFonts w:ascii="Times New Roman" w:eastAsia="Times New Roman" w:hAnsi="Times New Roman" w:cs="Times New Roman"/>
      <w:sz w:val="20"/>
      <w:szCs w:val="20"/>
      <w:lang w:val="en-US"/>
    </w:rPr>
  </w:style>
  <w:style w:type="character" w:styleId="Referencafusnote">
    <w:name w:val="footnote reference"/>
    <w:basedOn w:val="Zadanifontodlomka"/>
    <w:semiHidden/>
    <w:unhideWhenUsed/>
    <w:rsid w:val="00AE101A"/>
    <w:rPr>
      <w:position w:val="0"/>
      <w:vertAlign w:val="superscript"/>
    </w:rPr>
  </w:style>
  <w:style w:type="character" w:styleId="Naglaeno">
    <w:name w:val="Strong"/>
    <w:basedOn w:val="Zadanifontodlomka"/>
    <w:uiPriority w:val="22"/>
    <w:qFormat/>
    <w:rsid w:val="00AE101A"/>
    <w:rPr>
      <w:b/>
      <w:bCs/>
    </w:rPr>
  </w:style>
  <w:style w:type="character" w:customStyle="1" w:styleId="apple-converted-space">
    <w:name w:val="apple-converted-space"/>
    <w:basedOn w:val="Zadanifontodlomka"/>
    <w:rsid w:val="00AE101A"/>
  </w:style>
  <w:style w:type="character" w:customStyle="1" w:styleId="label">
    <w:name w:val="label"/>
    <w:basedOn w:val="Zadanifontodlomka"/>
    <w:rsid w:val="00AE101A"/>
  </w:style>
  <w:style w:type="character" w:customStyle="1" w:styleId="screen-reader-only">
    <w:name w:val="screen-reader-only"/>
    <w:basedOn w:val="Zadanifontodlomka"/>
    <w:rsid w:val="00AE101A"/>
  </w:style>
  <w:style w:type="table" w:styleId="Svijetlareetkatablice">
    <w:name w:val="Grid Table Light"/>
    <w:basedOn w:val="Obinatablica"/>
    <w:uiPriority w:val="40"/>
    <w:rsid w:val="00AE101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aslov">
    <w:name w:val="Title"/>
    <w:basedOn w:val="Normal"/>
    <w:link w:val="NaslovChar"/>
    <w:qFormat/>
    <w:rsid w:val="00AE101A"/>
    <w:pPr>
      <w:spacing w:before="120" w:after="0" w:line="240" w:lineRule="auto"/>
      <w:ind w:right="-600"/>
      <w:jc w:val="center"/>
    </w:pPr>
    <w:rPr>
      <w:rFonts w:ascii="Arial Nova" w:eastAsia="Times New Roman" w:hAnsi="Arial Nova" w:cs="Times New Roman"/>
      <w:b/>
      <w:color w:val="7B7B7B" w:themeColor="accent3" w:themeShade="BF"/>
      <w:sz w:val="44"/>
      <w:szCs w:val="20"/>
    </w:rPr>
  </w:style>
  <w:style w:type="character" w:customStyle="1" w:styleId="NaslovChar">
    <w:name w:val="Naslov Char"/>
    <w:basedOn w:val="Zadanifontodlomka"/>
    <w:link w:val="Naslov"/>
    <w:rsid w:val="00AE101A"/>
    <w:rPr>
      <w:rFonts w:ascii="Arial Nova" w:eastAsia="Times New Roman" w:hAnsi="Arial Nova" w:cs="Times New Roman"/>
      <w:b/>
      <w:color w:val="7B7B7B" w:themeColor="accent3" w:themeShade="BF"/>
      <w:sz w:val="44"/>
      <w:szCs w:val="20"/>
      <w:lang w:val="en-GB"/>
    </w:rPr>
  </w:style>
  <w:style w:type="paragraph" w:customStyle="1" w:styleId="SORtekst">
    <w:name w:val="SOR_tekst"/>
    <w:basedOn w:val="Normal"/>
    <w:link w:val="SORtekstChar"/>
    <w:rsid w:val="00AE101A"/>
    <w:pPr>
      <w:spacing w:before="120" w:after="0" w:line="240" w:lineRule="auto"/>
    </w:pPr>
    <w:rPr>
      <w:rFonts w:ascii="Arial Nova" w:eastAsia="Times New Roman" w:hAnsi="Arial Nova" w:cs="Times New Roman"/>
      <w:szCs w:val="24"/>
      <w:lang w:val="sl-SI" w:eastAsia="sl-SI"/>
    </w:rPr>
  </w:style>
  <w:style w:type="paragraph" w:customStyle="1" w:styleId="Literatura">
    <w:name w:val="Literatura"/>
    <w:basedOn w:val="SORtekst"/>
    <w:rsid w:val="00AE101A"/>
    <w:pPr>
      <w:ind w:left="567" w:hanging="567"/>
    </w:pPr>
    <w:rPr>
      <w:lang w:val="en-GB"/>
    </w:rPr>
  </w:style>
  <w:style w:type="paragraph" w:customStyle="1" w:styleId="SORNaslov">
    <w:name w:val="SOR_Naslov"/>
    <w:basedOn w:val="SORtekst"/>
    <w:rsid w:val="00AE101A"/>
    <w:pPr>
      <w:jc w:val="center"/>
    </w:pPr>
    <w:rPr>
      <w:b/>
      <w:caps/>
      <w:sz w:val="28"/>
      <w:szCs w:val="28"/>
    </w:rPr>
  </w:style>
  <w:style w:type="paragraph" w:customStyle="1" w:styleId="SORnames">
    <w:name w:val="SOR_names"/>
    <w:basedOn w:val="SORNaslov"/>
    <w:rsid w:val="00AE101A"/>
    <w:rPr>
      <w:b w:val="0"/>
      <w:caps w:val="0"/>
      <w:sz w:val="20"/>
      <w:szCs w:val="20"/>
    </w:rPr>
  </w:style>
  <w:style w:type="paragraph" w:customStyle="1" w:styleId="SORabstract">
    <w:name w:val="SOR_abstract"/>
    <w:basedOn w:val="SORNaslov"/>
    <w:rsid w:val="00AE101A"/>
    <w:pPr>
      <w:jc w:val="both"/>
    </w:pPr>
    <w:rPr>
      <w:b w:val="0"/>
      <w:caps w:val="0"/>
      <w:sz w:val="22"/>
      <w:szCs w:val="22"/>
    </w:rPr>
  </w:style>
  <w:style w:type="paragraph" w:customStyle="1" w:styleId="NaslovSOR05">
    <w:name w:val="Naslov_SOR05"/>
    <w:basedOn w:val="SORtekst"/>
    <w:rsid w:val="00AE101A"/>
    <w:pPr>
      <w:numPr>
        <w:numId w:val="20"/>
      </w:numPr>
      <w:tabs>
        <w:tab w:val="clear" w:pos="284"/>
      </w:tabs>
      <w:ind w:left="720" w:hanging="360"/>
    </w:pPr>
    <w:rPr>
      <w:b/>
      <w:lang w:val="en-GB"/>
    </w:rPr>
  </w:style>
  <w:style w:type="paragraph" w:customStyle="1" w:styleId="NaslovSOR0502">
    <w:name w:val="Naslov_SOR05_02"/>
    <w:basedOn w:val="SORNaslov"/>
    <w:rsid w:val="00AE101A"/>
    <w:pPr>
      <w:numPr>
        <w:ilvl w:val="1"/>
        <w:numId w:val="20"/>
      </w:numPr>
      <w:tabs>
        <w:tab w:val="clear" w:pos="284"/>
      </w:tabs>
      <w:ind w:left="1440" w:hanging="360"/>
      <w:jc w:val="left"/>
    </w:pPr>
    <w:rPr>
      <w:caps w:val="0"/>
      <w:sz w:val="24"/>
    </w:rPr>
  </w:style>
  <w:style w:type="paragraph" w:styleId="Tijeloteksta-uvlaka2">
    <w:name w:val="Body Text Indent 2"/>
    <w:basedOn w:val="Normal"/>
    <w:link w:val="Tijeloteksta-uvlaka2Char"/>
    <w:rsid w:val="00AE101A"/>
    <w:pPr>
      <w:spacing w:before="120" w:after="0" w:line="300" w:lineRule="atLeast"/>
      <w:ind w:firstLine="360"/>
    </w:pPr>
    <w:rPr>
      <w:rFonts w:ascii="Arial Nova" w:eastAsia="Times New Roman" w:hAnsi="Arial Nova" w:cs="Times New Roman"/>
      <w:sz w:val="20"/>
      <w:szCs w:val="24"/>
      <w:lang w:val="lt-LT"/>
    </w:rPr>
  </w:style>
  <w:style w:type="character" w:customStyle="1" w:styleId="Tijeloteksta-uvlaka2Char">
    <w:name w:val="Tijelo teksta - uvlaka 2 Char"/>
    <w:basedOn w:val="Zadanifontodlomka"/>
    <w:link w:val="Tijeloteksta-uvlaka2"/>
    <w:rsid w:val="00AE101A"/>
    <w:rPr>
      <w:rFonts w:ascii="Arial Nova" w:eastAsia="Times New Roman" w:hAnsi="Arial Nova" w:cs="Times New Roman"/>
      <w:sz w:val="20"/>
      <w:szCs w:val="24"/>
      <w:lang w:val="lt-LT"/>
    </w:rPr>
  </w:style>
  <w:style w:type="paragraph" w:styleId="Revizija">
    <w:name w:val="Revision"/>
    <w:hidden/>
    <w:uiPriority w:val="99"/>
    <w:semiHidden/>
    <w:rsid w:val="00AE101A"/>
    <w:pPr>
      <w:spacing w:after="0" w:line="240" w:lineRule="auto"/>
    </w:pPr>
    <w:rPr>
      <w:rFonts w:ascii="Times New Roman" w:eastAsia="Times New Roman" w:hAnsi="Times New Roman" w:cs="Times New Roman"/>
      <w:sz w:val="24"/>
      <w:szCs w:val="20"/>
      <w:lang w:val="en-GB"/>
    </w:rPr>
  </w:style>
  <w:style w:type="character" w:customStyle="1" w:styleId="SORtekstChar">
    <w:name w:val="SOR_tekst Char"/>
    <w:basedOn w:val="Zadanifontodlomka"/>
    <w:link w:val="SORtekst"/>
    <w:rsid w:val="00AE101A"/>
    <w:rPr>
      <w:rFonts w:ascii="Arial Nova" w:eastAsia="Times New Roman" w:hAnsi="Arial Nova" w:cs="Times New Roman"/>
      <w:szCs w:val="24"/>
      <w:lang w:eastAsia="sl-SI"/>
    </w:rPr>
  </w:style>
  <w:style w:type="character" w:customStyle="1" w:styleId="heading2Char">
    <w:name w:val="heading2 Char"/>
    <w:basedOn w:val="SORtekstChar"/>
    <w:link w:val="heading2"/>
    <w:rsid w:val="00AE101A"/>
    <w:rPr>
      <w:rFonts w:ascii="Times New Roman" w:eastAsia="Times New Roman" w:hAnsi="Times New Roman" w:cs="Times New Roman"/>
      <w:b/>
      <w:sz w:val="20"/>
      <w:szCs w:val="20"/>
      <w:lang w:val="en-US" w:eastAsia="sl-SI"/>
    </w:rPr>
  </w:style>
  <w:style w:type="paragraph" w:styleId="Tijeloteksta">
    <w:name w:val="Body Text"/>
    <w:basedOn w:val="Normal"/>
    <w:link w:val="TijelotekstaChar"/>
    <w:uiPriority w:val="1"/>
    <w:unhideWhenUsed/>
    <w:qFormat/>
    <w:rsid w:val="007C3C4B"/>
    <w:pPr>
      <w:spacing w:after="120"/>
    </w:pPr>
  </w:style>
  <w:style w:type="character" w:customStyle="1" w:styleId="TijelotekstaChar">
    <w:name w:val="Tijelo teksta Char"/>
    <w:basedOn w:val="Zadanifontodlomka"/>
    <w:link w:val="Tijeloteksta"/>
    <w:uiPriority w:val="1"/>
    <w:rsid w:val="007C3C4B"/>
    <w:rPr>
      <w:lang w:val="en-GB"/>
    </w:rPr>
  </w:style>
  <w:style w:type="paragraph" w:customStyle="1" w:styleId="BodyIndented">
    <w:name w:val="Body Indented"/>
    <w:basedOn w:val="Normal"/>
    <w:rsid w:val="007C3C4B"/>
    <w:pPr>
      <w:spacing w:after="0" w:line="240" w:lineRule="auto"/>
      <w:ind w:firstLine="360"/>
    </w:pPr>
    <w:rPr>
      <w:rFonts w:ascii="Times New Roman" w:eastAsia="Times New Roman" w:hAnsi="Times New Roman" w:cs="Times New Roman"/>
      <w:szCs w:val="24"/>
      <w:lang w:val="en"/>
    </w:rPr>
  </w:style>
  <w:style w:type="paragraph" w:customStyle="1" w:styleId="HeadingUnnumbered">
    <w:name w:val="Heading Unnumbered"/>
    <w:basedOn w:val="Naslov1"/>
    <w:next w:val="Normal"/>
    <w:rsid w:val="007C3C4B"/>
    <w:pPr>
      <w:keepLines w:val="0"/>
      <w:spacing w:before="440" w:after="120" w:line="240" w:lineRule="auto"/>
    </w:pPr>
    <w:rPr>
      <w:rFonts w:ascii="Times New Roman" w:eastAsia="Times New Roman" w:hAnsi="Times New Roman" w:cs="Arial"/>
      <w:bCs/>
      <w:caps w:val="0"/>
      <w:color w:val="auto"/>
      <w:kern w:val="28"/>
      <w:sz w:val="24"/>
      <w:lang w:val="en"/>
    </w:rPr>
  </w:style>
  <w:style w:type="character" w:customStyle="1" w:styleId="UnresolvedMention1">
    <w:name w:val="Unresolved Mention1"/>
    <w:basedOn w:val="Zadanifontodlomka"/>
    <w:uiPriority w:val="99"/>
    <w:semiHidden/>
    <w:unhideWhenUsed/>
    <w:rsid w:val="007C3C4B"/>
    <w:rPr>
      <w:color w:val="605E5C"/>
      <w:shd w:val="clear" w:color="auto" w:fill="E1DFDD"/>
    </w:rPr>
  </w:style>
  <w:style w:type="paragraph" w:customStyle="1" w:styleId="N1">
    <w:name w:val="N1"/>
    <w:qFormat/>
    <w:rsid w:val="0069311F"/>
    <w:pPr>
      <w:spacing w:before="360" w:after="240" w:line="276" w:lineRule="auto"/>
    </w:pPr>
    <w:rPr>
      <w:rFonts w:ascii="Open Sans" w:eastAsiaTheme="majorEastAsia" w:hAnsi="Open Sans" w:cs="Open Sans"/>
      <w:b/>
      <w:caps/>
      <w:noProof/>
      <w:color w:val="000000" w:themeColor="text1"/>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4316">
      <w:bodyDiv w:val="1"/>
      <w:marLeft w:val="0"/>
      <w:marRight w:val="0"/>
      <w:marTop w:val="0"/>
      <w:marBottom w:val="0"/>
      <w:divBdr>
        <w:top w:val="none" w:sz="0" w:space="0" w:color="auto"/>
        <w:left w:val="none" w:sz="0" w:space="0" w:color="auto"/>
        <w:bottom w:val="none" w:sz="0" w:space="0" w:color="auto"/>
        <w:right w:val="none" w:sz="0" w:space="0" w:color="auto"/>
      </w:divBdr>
    </w:div>
    <w:div w:id="24599107">
      <w:bodyDiv w:val="1"/>
      <w:marLeft w:val="0"/>
      <w:marRight w:val="0"/>
      <w:marTop w:val="0"/>
      <w:marBottom w:val="0"/>
      <w:divBdr>
        <w:top w:val="none" w:sz="0" w:space="0" w:color="auto"/>
        <w:left w:val="none" w:sz="0" w:space="0" w:color="auto"/>
        <w:bottom w:val="none" w:sz="0" w:space="0" w:color="auto"/>
        <w:right w:val="none" w:sz="0" w:space="0" w:color="auto"/>
      </w:divBdr>
    </w:div>
    <w:div w:id="137110963">
      <w:bodyDiv w:val="1"/>
      <w:marLeft w:val="0"/>
      <w:marRight w:val="0"/>
      <w:marTop w:val="0"/>
      <w:marBottom w:val="0"/>
      <w:divBdr>
        <w:top w:val="none" w:sz="0" w:space="0" w:color="auto"/>
        <w:left w:val="none" w:sz="0" w:space="0" w:color="auto"/>
        <w:bottom w:val="none" w:sz="0" w:space="0" w:color="auto"/>
        <w:right w:val="none" w:sz="0" w:space="0" w:color="auto"/>
      </w:divBdr>
      <w:divsChild>
        <w:div w:id="281037984">
          <w:marLeft w:val="0"/>
          <w:marRight w:val="0"/>
          <w:marTop w:val="100"/>
          <w:marBottom w:val="0"/>
          <w:divBdr>
            <w:top w:val="none" w:sz="0" w:space="0" w:color="auto"/>
            <w:left w:val="none" w:sz="0" w:space="0" w:color="auto"/>
            <w:bottom w:val="none" w:sz="0" w:space="0" w:color="auto"/>
            <w:right w:val="none" w:sz="0" w:space="0" w:color="auto"/>
          </w:divBdr>
          <w:divsChild>
            <w:div w:id="474612306">
              <w:marLeft w:val="0"/>
              <w:marRight w:val="0"/>
              <w:marTop w:val="0"/>
              <w:marBottom w:val="0"/>
              <w:divBdr>
                <w:top w:val="none" w:sz="0" w:space="0" w:color="auto"/>
                <w:left w:val="none" w:sz="0" w:space="0" w:color="auto"/>
                <w:bottom w:val="none" w:sz="0" w:space="0" w:color="auto"/>
                <w:right w:val="none" w:sz="0" w:space="0" w:color="auto"/>
              </w:divBdr>
              <w:divsChild>
                <w:div w:id="954142325">
                  <w:marLeft w:val="0"/>
                  <w:marRight w:val="0"/>
                  <w:marTop w:val="0"/>
                  <w:marBottom w:val="0"/>
                  <w:divBdr>
                    <w:top w:val="none" w:sz="0" w:space="0" w:color="auto"/>
                    <w:left w:val="none" w:sz="0" w:space="0" w:color="auto"/>
                    <w:bottom w:val="none" w:sz="0" w:space="0" w:color="auto"/>
                    <w:right w:val="none" w:sz="0" w:space="0" w:color="auto"/>
                  </w:divBdr>
                  <w:divsChild>
                    <w:div w:id="1674258373">
                      <w:marLeft w:val="0"/>
                      <w:marRight w:val="0"/>
                      <w:marTop w:val="0"/>
                      <w:marBottom w:val="0"/>
                      <w:divBdr>
                        <w:top w:val="none" w:sz="0" w:space="0" w:color="auto"/>
                        <w:left w:val="none" w:sz="0" w:space="0" w:color="auto"/>
                        <w:bottom w:val="none" w:sz="0" w:space="0" w:color="auto"/>
                        <w:right w:val="none" w:sz="0" w:space="0" w:color="auto"/>
                      </w:divBdr>
                      <w:divsChild>
                        <w:div w:id="2100901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419776">
          <w:marLeft w:val="0"/>
          <w:marRight w:val="0"/>
          <w:marTop w:val="0"/>
          <w:marBottom w:val="0"/>
          <w:divBdr>
            <w:top w:val="none" w:sz="0" w:space="0" w:color="auto"/>
            <w:left w:val="none" w:sz="0" w:space="0" w:color="auto"/>
            <w:bottom w:val="none" w:sz="0" w:space="0" w:color="auto"/>
            <w:right w:val="none" w:sz="0" w:space="0" w:color="auto"/>
          </w:divBdr>
          <w:divsChild>
            <w:div w:id="380255527">
              <w:marLeft w:val="0"/>
              <w:marRight w:val="0"/>
              <w:marTop w:val="0"/>
              <w:marBottom w:val="0"/>
              <w:divBdr>
                <w:top w:val="none" w:sz="0" w:space="0" w:color="auto"/>
                <w:left w:val="none" w:sz="0" w:space="0" w:color="auto"/>
                <w:bottom w:val="none" w:sz="0" w:space="0" w:color="auto"/>
                <w:right w:val="none" w:sz="0" w:space="0" w:color="auto"/>
              </w:divBdr>
              <w:divsChild>
                <w:div w:id="668220067">
                  <w:marLeft w:val="0"/>
                  <w:marRight w:val="0"/>
                  <w:marTop w:val="0"/>
                  <w:marBottom w:val="0"/>
                  <w:divBdr>
                    <w:top w:val="none" w:sz="0" w:space="0" w:color="auto"/>
                    <w:left w:val="none" w:sz="0" w:space="0" w:color="auto"/>
                    <w:bottom w:val="none" w:sz="0" w:space="0" w:color="auto"/>
                    <w:right w:val="none" w:sz="0" w:space="0" w:color="auto"/>
                  </w:divBdr>
                  <w:divsChild>
                    <w:div w:id="100270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633274">
          <w:marLeft w:val="0"/>
          <w:marRight w:val="0"/>
          <w:marTop w:val="0"/>
          <w:marBottom w:val="0"/>
          <w:divBdr>
            <w:top w:val="none" w:sz="0" w:space="0" w:color="auto"/>
            <w:left w:val="none" w:sz="0" w:space="0" w:color="auto"/>
            <w:bottom w:val="none" w:sz="0" w:space="0" w:color="auto"/>
            <w:right w:val="none" w:sz="0" w:space="0" w:color="auto"/>
          </w:divBdr>
          <w:divsChild>
            <w:div w:id="870149882">
              <w:marLeft w:val="0"/>
              <w:marRight w:val="0"/>
              <w:marTop w:val="0"/>
              <w:marBottom w:val="0"/>
              <w:divBdr>
                <w:top w:val="none" w:sz="0" w:space="0" w:color="auto"/>
                <w:left w:val="none" w:sz="0" w:space="0" w:color="auto"/>
                <w:bottom w:val="none" w:sz="0" w:space="0" w:color="auto"/>
                <w:right w:val="none" w:sz="0" w:space="0" w:color="auto"/>
              </w:divBdr>
              <w:divsChild>
                <w:div w:id="120941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055896">
          <w:marLeft w:val="0"/>
          <w:marRight w:val="0"/>
          <w:marTop w:val="0"/>
          <w:marBottom w:val="0"/>
          <w:divBdr>
            <w:top w:val="none" w:sz="0" w:space="0" w:color="auto"/>
            <w:left w:val="none" w:sz="0" w:space="0" w:color="auto"/>
            <w:bottom w:val="none" w:sz="0" w:space="0" w:color="auto"/>
            <w:right w:val="none" w:sz="0" w:space="0" w:color="auto"/>
          </w:divBdr>
          <w:divsChild>
            <w:div w:id="800610948">
              <w:marLeft w:val="0"/>
              <w:marRight w:val="0"/>
              <w:marTop w:val="0"/>
              <w:marBottom w:val="0"/>
              <w:divBdr>
                <w:top w:val="none" w:sz="0" w:space="0" w:color="auto"/>
                <w:left w:val="none" w:sz="0" w:space="0" w:color="auto"/>
                <w:bottom w:val="none" w:sz="0" w:space="0" w:color="auto"/>
                <w:right w:val="none" w:sz="0" w:space="0" w:color="auto"/>
              </w:divBdr>
              <w:divsChild>
                <w:div w:id="4418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593507">
          <w:marLeft w:val="0"/>
          <w:marRight w:val="0"/>
          <w:marTop w:val="0"/>
          <w:marBottom w:val="0"/>
          <w:divBdr>
            <w:top w:val="none" w:sz="0" w:space="0" w:color="auto"/>
            <w:left w:val="none" w:sz="0" w:space="0" w:color="auto"/>
            <w:bottom w:val="none" w:sz="0" w:space="0" w:color="auto"/>
            <w:right w:val="none" w:sz="0" w:space="0" w:color="auto"/>
          </w:divBdr>
        </w:div>
      </w:divsChild>
    </w:div>
    <w:div w:id="259602596">
      <w:bodyDiv w:val="1"/>
      <w:marLeft w:val="0"/>
      <w:marRight w:val="0"/>
      <w:marTop w:val="0"/>
      <w:marBottom w:val="0"/>
      <w:divBdr>
        <w:top w:val="none" w:sz="0" w:space="0" w:color="auto"/>
        <w:left w:val="none" w:sz="0" w:space="0" w:color="auto"/>
        <w:bottom w:val="none" w:sz="0" w:space="0" w:color="auto"/>
        <w:right w:val="none" w:sz="0" w:space="0" w:color="auto"/>
      </w:divBdr>
    </w:div>
    <w:div w:id="775835372">
      <w:bodyDiv w:val="1"/>
      <w:marLeft w:val="0"/>
      <w:marRight w:val="0"/>
      <w:marTop w:val="0"/>
      <w:marBottom w:val="0"/>
      <w:divBdr>
        <w:top w:val="none" w:sz="0" w:space="0" w:color="auto"/>
        <w:left w:val="none" w:sz="0" w:space="0" w:color="auto"/>
        <w:bottom w:val="none" w:sz="0" w:space="0" w:color="auto"/>
        <w:right w:val="none" w:sz="0" w:space="0" w:color="auto"/>
      </w:divBdr>
      <w:divsChild>
        <w:div w:id="211356801">
          <w:marLeft w:val="0"/>
          <w:marRight w:val="0"/>
          <w:marTop w:val="0"/>
          <w:marBottom w:val="0"/>
          <w:divBdr>
            <w:top w:val="none" w:sz="0" w:space="0" w:color="auto"/>
            <w:left w:val="none" w:sz="0" w:space="0" w:color="auto"/>
            <w:bottom w:val="none" w:sz="0" w:space="0" w:color="auto"/>
            <w:right w:val="none" w:sz="0" w:space="0" w:color="auto"/>
          </w:divBdr>
          <w:divsChild>
            <w:div w:id="536551223">
              <w:marLeft w:val="0"/>
              <w:marRight w:val="0"/>
              <w:marTop w:val="0"/>
              <w:marBottom w:val="0"/>
              <w:divBdr>
                <w:top w:val="none" w:sz="0" w:space="0" w:color="auto"/>
                <w:left w:val="none" w:sz="0" w:space="0" w:color="auto"/>
                <w:bottom w:val="none" w:sz="0" w:space="0" w:color="auto"/>
                <w:right w:val="none" w:sz="0" w:space="0" w:color="auto"/>
              </w:divBdr>
              <w:divsChild>
                <w:div w:id="2138982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343016">
          <w:marLeft w:val="0"/>
          <w:marRight w:val="0"/>
          <w:marTop w:val="100"/>
          <w:marBottom w:val="0"/>
          <w:divBdr>
            <w:top w:val="none" w:sz="0" w:space="0" w:color="auto"/>
            <w:left w:val="none" w:sz="0" w:space="0" w:color="auto"/>
            <w:bottom w:val="none" w:sz="0" w:space="0" w:color="auto"/>
            <w:right w:val="none" w:sz="0" w:space="0" w:color="auto"/>
          </w:divBdr>
        </w:div>
        <w:div w:id="1501848079">
          <w:marLeft w:val="0"/>
          <w:marRight w:val="0"/>
          <w:marTop w:val="0"/>
          <w:marBottom w:val="0"/>
          <w:divBdr>
            <w:top w:val="none" w:sz="0" w:space="0" w:color="auto"/>
            <w:left w:val="none" w:sz="0" w:space="0" w:color="auto"/>
            <w:bottom w:val="none" w:sz="0" w:space="0" w:color="auto"/>
            <w:right w:val="none" w:sz="0" w:space="0" w:color="auto"/>
          </w:divBdr>
          <w:divsChild>
            <w:div w:id="203565048">
              <w:marLeft w:val="0"/>
              <w:marRight w:val="0"/>
              <w:marTop w:val="0"/>
              <w:marBottom w:val="0"/>
              <w:divBdr>
                <w:top w:val="none" w:sz="0" w:space="0" w:color="auto"/>
                <w:left w:val="none" w:sz="0" w:space="0" w:color="auto"/>
                <w:bottom w:val="none" w:sz="0" w:space="0" w:color="auto"/>
                <w:right w:val="none" w:sz="0" w:space="0" w:color="auto"/>
              </w:divBdr>
              <w:divsChild>
                <w:div w:id="182403967">
                  <w:marLeft w:val="0"/>
                  <w:marRight w:val="0"/>
                  <w:marTop w:val="0"/>
                  <w:marBottom w:val="0"/>
                  <w:divBdr>
                    <w:top w:val="none" w:sz="0" w:space="0" w:color="auto"/>
                    <w:left w:val="none" w:sz="0" w:space="0" w:color="auto"/>
                    <w:bottom w:val="none" w:sz="0" w:space="0" w:color="auto"/>
                    <w:right w:val="none" w:sz="0" w:space="0" w:color="auto"/>
                  </w:divBdr>
                  <w:divsChild>
                    <w:div w:id="39351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2695826">
      <w:bodyDiv w:val="1"/>
      <w:marLeft w:val="0"/>
      <w:marRight w:val="0"/>
      <w:marTop w:val="0"/>
      <w:marBottom w:val="0"/>
      <w:divBdr>
        <w:top w:val="none" w:sz="0" w:space="0" w:color="auto"/>
        <w:left w:val="none" w:sz="0" w:space="0" w:color="auto"/>
        <w:bottom w:val="none" w:sz="0" w:space="0" w:color="auto"/>
        <w:right w:val="none" w:sz="0" w:space="0" w:color="auto"/>
      </w:divBdr>
    </w:div>
    <w:div w:id="958223621">
      <w:bodyDiv w:val="1"/>
      <w:marLeft w:val="0"/>
      <w:marRight w:val="0"/>
      <w:marTop w:val="0"/>
      <w:marBottom w:val="0"/>
      <w:divBdr>
        <w:top w:val="none" w:sz="0" w:space="0" w:color="auto"/>
        <w:left w:val="none" w:sz="0" w:space="0" w:color="auto"/>
        <w:bottom w:val="none" w:sz="0" w:space="0" w:color="auto"/>
        <w:right w:val="none" w:sz="0" w:space="0" w:color="auto"/>
      </w:divBdr>
    </w:div>
    <w:div w:id="1461269495">
      <w:bodyDiv w:val="1"/>
      <w:marLeft w:val="0"/>
      <w:marRight w:val="0"/>
      <w:marTop w:val="0"/>
      <w:marBottom w:val="0"/>
      <w:divBdr>
        <w:top w:val="none" w:sz="0" w:space="0" w:color="auto"/>
        <w:left w:val="none" w:sz="0" w:space="0" w:color="auto"/>
        <w:bottom w:val="none" w:sz="0" w:space="0" w:color="auto"/>
        <w:right w:val="none" w:sz="0" w:space="0" w:color="auto"/>
      </w:divBdr>
    </w:div>
    <w:div w:id="1481463306">
      <w:bodyDiv w:val="1"/>
      <w:marLeft w:val="0"/>
      <w:marRight w:val="0"/>
      <w:marTop w:val="0"/>
      <w:marBottom w:val="0"/>
      <w:divBdr>
        <w:top w:val="none" w:sz="0" w:space="0" w:color="auto"/>
        <w:left w:val="none" w:sz="0" w:space="0" w:color="auto"/>
        <w:bottom w:val="none" w:sz="0" w:space="0" w:color="auto"/>
        <w:right w:val="none" w:sz="0" w:space="0" w:color="auto"/>
      </w:divBdr>
    </w:div>
    <w:div w:id="1519008876">
      <w:bodyDiv w:val="1"/>
      <w:marLeft w:val="0"/>
      <w:marRight w:val="0"/>
      <w:marTop w:val="0"/>
      <w:marBottom w:val="0"/>
      <w:divBdr>
        <w:top w:val="none" w:sz="0" w:space="0" w:color="auto"/>
        <w:left w:val="none" w:sz="0" w:space="0" w:color="auto"/>
        <w:bottom w:val="none" w:sz="0" w:space="0" w:color="auto"/>
        <w:right w:val="none" w:sz="0" w:space="0" w:color="auto"/>
      </w:divBdr>
    </w:div>
    <w:div w:id="1588223842">
      <w:bodyDiv w:val="1"/>
      <w:marLeft w:val="0"/>
      <w:marRight w:val="0"/>
      <w:marTop w:val="0"/>
      <w:marBottom w:val="0"/>
      <w:divBdr>
        <w:top w:val="none" w:sz="0" w:space="0" w:color="auto"/>
        <w:left w:val="none" w:sz="0" w:space="0" w:color="auto"/>
        <w:bottom w:val="none" w:sz="0" w:space="0" w:color="auto"/>
        <w:right w:val="none" w:sz="0" w:space="0" w:color="auto"/>
      </w:divBdr>
    </w:div>
    <w:div w:id="1884245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projectguru.in/interpret-results-linear-regression-test-spss/" TargetMode="External"/><Relationship Id="rId21" Type="http://schemas.openxmlformats.org/officeDocument/2006/relationships/hyperlink" Target="https://enterpriseiotinsights.com/20170420/smart-cities/smart-city-case-study-copenhagen-tag23-tag99" TargetMode="External"/><Relationship Id="rId42" Type="http://schemas.openxmlformats.org/officeDocument/2006/relationships/image" Target="media/image14.png"/><Relationship Id="rId63" Type="http://schemas.openxmlformats.org/officeDocument/2006/relationships/hyperlink" Target="https://www.cbre.co.uk/research-and-reports/our-cities/smart-cities-uk-city-officials-survey" TargetMode="External"/><Relationship Id="rId84" Type="http://schemas.openxmlformats.org/officeDocument/2006/relationships/image" Target="media/image39.jpeg"/><Relationship Id="rId16" Type="http://schemas.openxmlformats.org/officeDocument/2006/relationships/hyperlink" Target="https://crowded.co/blog/case-studies/amsterdam-smart-city" TargetMode="External"/><Relationship Id="rId107" Type="http://schemas.openxmlformats.org/officeDocument/2006/relationships/hyperlink" Target="https://doi.org/10.1016/j.techsoc.2005.10.007" TargetMode="External"/><Relationship Id="rId11" Type="http://schemas.openxmlformats.org/officeDocument/2006/relationships/image" Target="media/image2.png"/><Relationship Id="rId32" Type="http://schemas.openxmlformats.org/officeDocument/2006/relationships/hyperlink" Target="http://www.nistep.go.jp/IC/ic071119/pdf/3-3_Keenan.pdf" TargetMode="External"/><Relationship Id="rId37" Type="http://schemas.openxmlformats.org/officeDocument/2006/relationships/image" Target="media/image9.png"/><Relationship Id="rId53" Type="http://schemas.openxmlformats.org/officeDocument/2006/relationships/image" Target="media/image22.png"/><Relationship Id="rId58" Type="http://schemas.openxmlformats.org/officeDocument/2006/relationships/hyperlink" Target="https://www2.deloitte.com/content/dam/Deloitte/ca/Documents/deloitte-analytics/ca-covid19-upskilling-EN-AODA.pdf" TargetMode="External"/><Relationship Id="rId74" Type="http://schemas.openxmlformats.org/officeDocument/2006/relationships/image" Target="media/image32.wmf"/><Relationship Id="rId79" Type="http://schemas.openxmlformats.org/officeDocument/2006/relationships/oleObject" Target="embeddings/oleObject2.bin"/><Relationship Id="rId102" Type="http://schemas.openxmlformats.org/officeDocument/2006/relationships/hyperlink" Target="https://doi.org/10.1016/j.ijinfomgt.2017.01.002" TargetMode="External"/><Relationship Id="rId123" Type="http://schemas.openxmlformats.org/officeDocument/2006/relationships/hyperlink" Target="https://www.un.org/esa/dsd/resources/res_pdfs/csd-19/Background-Paper8-P.Midgley-Bicycle.pdf" TargetMode="External"/><Relationship Id="rId128" Type="http://schemas.openxmlformats.org/officeDocument/2006/relationships/hyperlink" Target="https://www.ohchr.org/EN/ProfessionalInterest/Pages/Millennium.aspx" TargetMode="External"/><Relationship Id="rId5" Type="http://schemas.openxmlformats.org/officeDocument/2006/relationships/webSettings" Target="webSettings.xml"/><Relationship Id="rId90" Type="http://schemas.openxmlformats.org/officeDocument/2006/relationships/image" Target="media/image43.png"/><Relationship Id="rId95" Type="http://schemas.openxmlformats.org/officeDocument/2006/relationships/hyperlink" Target="https://www.split.hr/DesktopModules/Bring2mind/DMX/API/Entries/Download?language=hr-HR&amp;Command=Core_Download&amp;EntryId=7695&amp;PortalId=0" TargetMode="External"/><Relationship Id="rId22" Type="http://schemas.openxmlformats.org/officeDocument/2006/relationships/hyperlink" Target="https://www.urban-hub.com/cities/smart-city-3-0-ask-barcelona-about-the-next-generation-of-smart-cities/" TargetMode="External"/><Relationship Id="rId27" Type="http://schemas.openxmlformats.org/officeDocument/2006/relationships/image" Target="media/image7.emf"/><Relationship Id="rId43" Type="http://schemas.openxmlformats.org/officeDocument/2006/relationships/image" Target="media/image15.jpeg"/><Relationship Id="rId48" Type="http://schemas.openxmlformats.org/officeDocument/2006/relationships/image" Target="media/image17.png"/><Relationship Id="rId64" Type="http://schemas.openxmlformats.org/officeDocument/2006/relationships/hyperlink" Target="https://iot-analytics.com/top-10-smart-city-use-cases-prioritized-now/" TargetMode="External"/><Relationship Id="rId69" Type="http://schemas.openxmlformats.org/officeDocument/2006/relationships/image" Target="media/image28.png"/><Relationship Id="rId113" Type="http://schemas.openxmlformats.org/officeDocument/2006/relationships/hyperlink" Target="https://www.researchgate.net/publication/328799708_A_Bibliometric_Analysis_of_Studies_on_Medical_Radiation_Workers_Active_Authors_Hot_Topics_and_Malaysian_Works_in_the_Research_Landscape" TargetMode="External"/><Relationship Id="rId118" Type="http://schemas.openxmlformats.org/officeDocument/2006/relationships/hyperlink" Target="https://www.projectguru.in/interpret-results-linear-regression-test-spss/" TargetMode="External"/><Relationship Id="rId134" Type="http://schemas.openxmlformats.org/officeDocument/2006/relationships/theme" Target="theme/theme1.xml"/><Relationship Id="rId80" Type="http://schemas.openxmlformats.org/officeDocument/2006/relationships/image" Target="media/image36.wmf"/><Relationship Id="rId85" Type="http://schemas.openxmlformats.org/officeDocument/2006/relationships/image" Target="media/image40.wmf"/><Relationship Id="rId12" Type="http://schemas.openxmlformats.org/officeDocument/2006/relationships/image" Target="media/image3.png"/><Relationship Id="rId17" Type="http://schemas.openxmlformats.org/officeDocument/2006/relationships/hyperlink" Target="https://www.digitaldubai.ae/" TargetMode="External"/><Relationship Id="rId33" Type="http://schemas.openxmlformats.org/officeDocument/2006/relationships/hyperlink" Target="http://www.projectanticipation.org/attachments/article/95/Kienegger%20et%20al..pdf" TargetMode="External"/><Relationship Id="rId38" Type="http://schemas.openxmlformats.org/officeDocument/2006/relationships/image" Target="media/image10.png"/><Relationship Id="rId59" Type="http://schemas.openxmlformats.org/officeDocument/2006/relationships/hyperlink" Target="https://www.eea.europa.eu/themes/climate/climate-change-is-one-of" TargetMode="External"/><Relationship Id="rId103" Type="http://schemas.openxmlformats.org/officeDocument/2006/relationships/hyperlink" Target="https://www.bib.irb.hr/946193/download/946193.CETRA2018_1601-1606.pdf" TargetMode="External"/><Relationship Id="rId108" Type="http://schemas.openxmlformats.org/officeDocument/2006/relationships/hyperlink" Target="https://onlinelibrary.wiley.com/doi/book/10.1002/9781119421948" TargetMode="External"/><Relationship Id="rId124" Type="http://schemas.openxmlformats.org/officeDocument/2006/relationships/hyperlink" Target="https://www.un.org/esa/dsd/resources/res_pdfs/csd-19/Background-Paper8-P.Midgley-Bicycle.pdf" TargetMode="External"/><Relationship Id="rId129" Type="http://schemas.openxmlformats.org/officeDocument/2006/relationships/hyperlink" Target="https://www.lancaster.ac.uk/staff/tyfield/urry08bjs" TargetMode="External"/><Relationship Id="rId54" Type="http://schemas.openxmlformats.org/officeDocument/2006/relationships/image" Target="media/image23.png"/><Relationship Id="rId70" Type="http://schemas.openxmlformats.org/officeDocument/2006/relationships/image" Target="media/image29.png"/><Relationship Id="rId75" Type="http://schemas.openxmlformats.org/officeDocument/2006/relationships/oleObject" Target="embeddings/oleObject1.bin"/><Relationship Id="rId91" Type="http://schemas.openxmlformats.org/officeDocument/2006/relationships/image" Target="media/image44.png"/><Relationship Id="rId96" Type="http://schemas.openxmlformats.org/officeDocument/2006/relationships/hyperlink" Target="https://dspace.mit.edu/bitstream/handle/1721.1/102741/esd-wp-2003-01.13.pdf?sequence=1"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uu.nl/en/news/project-air-view-measurements-result-in-hyperlocal-map-of-air-quality-in-copenhagen" TargetMode="External"/><Relationship Id="rId28" Type="http://schemas.openxmlformats.org/officeDocument/2006/relationships/hyperlink" Target="https://ec.europa.eu/info/strategy/strategic-planning/strategic-foresight/2020-strategic-foresight-report_en" TargetMode="External"/><Relationship Id="rId49" Type="http://schemas.openxmlformats.org/officeDocument/2006/relationships/image" Target="media/image18.png"/><Relationship Id="rId114" Type="http://schemas.openxmlformats.org/officeDocument/2006/relationships/hyperlink" Target="https://www.researchgate.net/publication/328799708_A_Bibliometric_Analysis_of_Studies_on_Medical_Radiation_Workers_Active_Authors_Hot_Topics_and_Malaysian_Works_in_the_Research_Landscape" TargetMode="External"/><Relationship Id="rId119" Type="http://schemas.openxmlformats.org/officeDocument/2006/relationships/hyperlink" Target="https://ieeexplore.ieee.org/abstract/document/7718328" TargetMode="External"/><Relationship Id="rId44" Type="http://schemas.openxmlformats.org/officeDocument/2006/relationships/hyperlink" Target="https://ec.europa.eu/info/strategy/priorities-2019-2024/european-green-deal/transport-and-green-deal_en" TargetMode="External"/><Relationship Id="rId60" Type="http://schemas.openxmlformats.org/officeDocument/2006/relationships/hyperlink" Target="https://www.whitecase.com/publications/insight/how-changing-attitudes-toward-data-sharing-could-accelerate-smart-city" TargetMode="External"/><Relationship Id="rId65" Type="http://schemas.openxmlformats.org/officeDocument/2006/relationships/hyperlink" Target="https://thetechrevolutionist.com/2018/02/smart-city-survey-results-governments.html" TargetMode="External"/><Relationship Id="rId81" Type="http://schemas.openxmlformats.org/officeDocument/2006/relationships/oleObject" Target="embeddings/oleObject3.bin"/><Relationship Id="rId86" Type="http://schemas.openxmlformats.org/officeDocument/2006/relationships/oleObject" Target="embeddings/oleObject4.bin"/><Relationship Id="rId130" Type="http://schemas.openxmlformats.org/officeDocument/2006/relationships/hyperlink" Target="https://doi.org/10.2307/41410412" TargetMode="External"/><Relationship Id="rId13" Type="http://schemas.openxmlformats.org/officeDocument/2006/relationships/image" Target="media/image4.png"/><Relationship Id="rId18" Type="http://schemas.openxmlformats.org/officeDocument/2006/relationships/hyperlink" Target="https://www.scandinaviastandard.com/the-best-ways-to-reduce-food-waste-in-denmark/" TargetMode="External"/><Relationship Id="rId39" Type="http://schemas.openxmlformats.org/officeDocument/2006/relationships/image" Target="media/image11.png"/><Relationship Id="rId109" Type="http://schemas.openxmlformats.org/officeDocument/2006/relationships/hyperlink" Target="https://esmap.org/sites/default/files/esmap-files/urban%20pollution%20entire%20report.pdf" TargetMode="External"/><Relationship Id="rId34" Type="http://schemas.openxmlformats.org/officeDocument/2006/relationships/hyperlink" Target="https://www.linkedin.com/pulse/anticipatory-governance-city-commons-jose-ramos/" TargetMode="External"/><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image" Target="media/image33.jpeg"/><Relationship Id="rId97" Type="http://schemas.openxmlformats.org/officeDocument/2006/relationships/hyperlink" Target="https://visitsplit.com/hr/3136/strateski-marketing-plan" TargetMode="External"/><Relationship Id="rId104" Type="http://schemas.openxmlformats.org/officeDocument/2006/relationships/hyperlink" Target="https://doi.org/10.1016/j.trpro.2016.11.005" TargetMode="External"/><Relationship Id="rId120" Type="http://schemas.openxmlformats.org/officeDocument/2006/relationships/hyperlink" Target="https://pp.bme.hu/tr/article/view/7006" TargetMode="External"/><Relationship Id="rId125" Type="http://schemas.openxmlformats.org/officeDocument/2006/relationships/hyperlink" Target="https://www.jstage.jst.go.jp/article/eastsats/4/3/4_621/_article" TargetMode="External"/><Relationship Id="rId7" Type="http://schemas.openxmlformats.org/officeDocument/2006/relationships/endnotes" Target="endnotes.xml"/><Relationship Id="rId71" Type="http://schemas.openxmlformats.org/officeDocument/2006/relationships/chart" Target="charts/chart2.xml"/><Relationship Id="rId92" Type="http://schemas.openxmlformats.org/officeDocument/2006/relationships/hyperlink" Target="https://www.split.hr/ukljuci-se/prostorno-planska-dokumentacija/planovi-na-snazi/ppu-grada-splita" TargetMode="External"/><Relationship Id="rId2" Type="http://schemas.openxmlformats.org/officeDocument/2006/relationships/numbering" Target="numbering.xml"/><Relationship Id="rId29" Type="http://schemas.openxmlformats.org/officeDocument/2006/relationships/hyperlink" Target="https://foresightfutures.net/foresight-approaches" TargetMode="External"/><Relationship Id="rId24" Type="http://schemas.openxmlformats.org/officeDocument/2006/relationships/hyperlink" Target="https://amsterdamsmartcity.com/updates/project/climate-street" TargetMode="External"/><Relationship Id="rId40" Type="http://schemas.openxmlformats.org/officeDocument/2006/relationships/image" Target="media/image12.png"/><Relationship Id="rId45" Type="http://schemas.openxmlformats.org/officeDocument/2006/relationships/hyperlink" Target="https://www.simplilearn.com/top-technology-trends-and-jobs-article" TargetMode="External"/><Relationship Id="rId66" Type="http://schemas.openxmlformats.org/officeDocument/2006/relationships/hyperlink" Target="http://www3.weforum.org/docs/WEF_Smart_at_Scale_Cities_to_Watch_25_Case_Studies_2020.pdf" TargetMode="External"/><Relationship Id="rId87" Type="http://schemas.openxmlformats.org/officeDocument/2006/relationships/image" Target="media/image41.wmf"/><Relationship Id="rId110" Type="http://schemas.openxmlformats.org/officeDocument/2006/relationships/hyperlink" Target="https://esmap.org/sites/default/files/esmap-files/urban%20pollution%20entire%20report.pdf" TargetMode="External"/><Relationship Id="rId115" Type="http://schemas.openxmlformats.org/officeDocument/2006/relationships/hyperlink" Target="https://www.researchgate.net/publication/328799708_A_Bibliometric_Analysis_of_Studies_on_Medical_Radiation_Workers_Active_Authors_Hot_Topics_and_Malaysian_Works_in_the_Research_Landscape" TargetMode="External"/><Relationship Id="rId131" Type="http://schemas.openxmlformats.org/officeDocument/2006/relationships/hyperlink" Target="https://doi.org/10.2307/30036540" TargetMode="External"/><Relationship Id="rId61" Type="http://schemas.openxmlformats.org/officeDocument/2006/relationships/hyperlink" Target="https://enterpriseiotinsights.com/20171005/smart-cities/us-cities-benefit-smart-city-transformation-tag17" TargetMode="External"/><Relationship Id="rId82" Type="http://schemas.openxmlformats.org/officeDocument/2006/relationships/image" Target="media/image37.png"/><Relationship Id="rId19" Type="http://schemas.openxmlformats.org/officeDocument/2006/relationships/hyperlink" Target="https://www.smart-geneva.ch/en/home" TargetMode="External"/><Relationship Id="rId14" Type="http://schemas.openxmlformats.org/officeDocument/2006/relationships/hyperlink" Target="https://www.alliedtelesis.com/si/en/blog/ict-fundamental-enabler-smart-cities" TargetMode="External"/><Relationship Id="rId30" Type="http://schemas.openxmlformats.org/officeDocument/2006/relationships/hyperlink" Target="https://www.iftf.org/uploads/media/SR-1272_anticip_govern-1.pdf" TargetMode="External"/><Relationship Id="rId35" Type="http://schemas.openxmlformats.org/officeDocument/2006/relationships/hyperlink" Target="https://www.tc.cz/files/istec_publications/textbook2revisedcf_1171283006.pdf" TargetMode="External"/><Relationship Id="rId56" Type="http://schemas.openxmlformats.org/officeDocument/2006/relationships/image" Target="media/image25.png"/><Relationship Id="rId77" Type="http://schemas.openxmlformats.org/officeDocument/2006/relationships/image" Target="media/image34.jpeg"/><Relationship Id="rId100" Type="http://schemas.openxmlformats.org/officeDocument/2006/relationships/hyperlink" Target="https://sustainabledevelopment.un.org/content/documents/5987our-common-future.pdf" TargetMode="External"/><Relationship Id="rId105" Type="http://schemas.openxmlformats.org/officeDocument/2006/relationships/hyperlink" Target="https://doi.org/10.20858/sjsutst.2018.99.1" TargetMode="External"/><Relationship Id="rId126" Type="http://schemas.openxmlformats.org/officeDocument/2006/relationships/hyperlink" Target="https://ieeexplore.ieee.org/abstract/document/6488244" TargetMode="External"/><Relationship Id="rId8" Type="http://schemas.openxmlformats.org/officeDocument/2006/relationships/footer" Target="footer1.xml"/><Relationship Id="rId51" Type="http://schemas.openxmlformats.org/officeDocument/2006/relationships/image" Target="media/image20.png"/><Relationship Id="rId72" Type="http://schemas.openxmlformats.org/officeDocument/2006/relationships/image" Target="media/image30.png"/><Relationship Id="rId93" Type="http://schemas.openxmlformats.org/officeDocument/2006/relationships/hyperlink" Target="https://www.split.hr/clanak/masterplan-studija-za-podrucje-istocne-obale-i-kopilice-integrirani-razvojni-plan" TargetMode="External"/><Relationship Id="rId98" Type="http://schemas.openxmlformats.org/officeDocument/2006/relationships/hyperlink" Target="https://population.un.org/wup/Publications/Files/WUP2018-Report.pdf" TargetMode="External"/><Relationship Id="rId121" Type="http://schemas.openxmlformats.org/officeDocument/2006/relationships/hyperlink" Target="http://dx.doi.org/10.4236/jcc.2015.35021" TargetMode="External"/><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hyperlink" Target="https://www.simplilearn.com/top-technology-trends-and-jobs-article" TargetMode="External"/><Relationship Id="rId67" Type="http://schemas.openxmlformats.org/officeDocument/2006/relationships/image" Target="media/image26.png"/><Relationship Id="rId116" Type="http://schemas.openxmlformats.org/officeDocument/2006/relationships/hyperlink" Target="https://www.projectguru.in/interpret-results-linear-regression-test-spss/" TargetMode="External"/><Relationship Id="rId20" Type="http://schemas.openxmlformats.org/officeDocument/2006/relationships/hyperlink" Target="https://hub.beesmart.city/city-portraits/smart-city-portrait-barcelona" TargetMode="External"/><Relationship Id="rId41" Type="http://schemas.openxmlformats.org/officeDocument/2006/relationships/image" Target="media/image13.png"/><Relationship Id="rId62" Type="http://schemas.openxmlformats.org/officeDocument/2006/relationships/hyperlink" Target="https://mspoweruser.com/microsoft-trusted-smart-city-vendor-according-survey-idc/" TargetMode="External"/><Relationship Id="rId83" Type="http://schemas.openxmlformats.org/officeDocument/2006/relationships/image" Target="media/image38.png"/><Relationship Id="rId88" Type="http://schemas.openxmlformats.org/officeDocument/2006/relationships/oleObject" Target="embeddings/oleObject5.bin"/><Relationship Id="rId111" Type="http://schemas.openxmlformats.org/officeDocument/2006/relationships/hyperlink" Target="https://www.researchgate.net/publication/328799708_A_Bibliometric_Analysis_of_Studies_on_Medical_Radiation_Workers_Active_Authors_Hot_Topics_and_Malaysian_Works_in_the_Research_Landscape" TargetMode="External"/><Relationship Id="rId132" Type="http://schemas.openxmlformats.org/officeDocument/2006/relationships/footer" Target="footer2.xml"/><Relationship Id="rId15" Type="http://schemas.openxmlformats.org/officeDocument/2006/relationships/hyperlink" Target="https://www.citego.org/bdf_fiche-document-2429_en.html" TargetMode="External"/><Relationship Id="rId36" Type="http://schemas.openxmlformats.org/officeDocument/2006/relationships/image" Target="media/image8.png"/><Relationship Id="rId57" Type="http://schemas.openxmlformats.org/officeDocument/2006/relationships/hyperlink" Target="https://www.eea.europa.eu/themes/climate/climate-change-is-one-of" TargetMode="External"/><Relationship Id="rId106" Type="http://schemas.openxmlformats.org/officeDocument/2006/relationships/hyperlink" Target="https://doi.org/10.1016/j.tra.2017.09.012" TargetMode="External"/><Relationship Id="rId127" Type="http://schemas.openxmlformats.org/officeDocument/2006/relationships/hyperlink" Target="https://doi.org/10.1016/j.jbi.2019.103315" TargetMode="External"/><Relationship Id="rId10" Type="http://schemas.openxmlformats.org/officeDocument/2006/relationships/chart" Target="charts/chart1.xml"/><Relationship Id="rId31" Type="http://schemas.openxmlformats.org/officeDocument/2006/relationships/hyperlink" Target="https://www.shapingtomorrow.com/media-centre/pf-ch03.pdf" TargetMode="External"/><Relationship Id="rId52" Type="http://schemas.openxmlformats.org/officeDocument/2006/relationships/image" Target="media/image21.png"/><Relationship Id="rId73" Type="http://schemas.openxmlformats.org/officeDocument/2006/relationships/image" Target="media/image31.jpeg"/><Relationship Id="rId78" Type="http://schemas.openxmlformats.org/officeDocument/2006/relationships/image" Target="media/image35.wmf"/><Relationship Id="rId94" Type="http://schemas.openxmlformats.org/officeDocument/2006/relationships/hyperlink" Target="https://notendur.hi.is/bdavids/UAU101/Readings/Harris_2000_Sustainable_development.pdf" TargetMode="External"/><Relationship Id="rId99" Type="http://schemas.openxmlformats.org/officeDocument/2006/relationships/hyperlink" Target="https://www.unwto.org/glossary-tourism-terms" TargetMode="External"/><Relationship Id="rId101" Type="http://schemas.openxmlformats.org/officeDocument/2006/relationships/image" Target="media/image45.png"/><Relationship Id="rId122" Type="http://schemas.openxmlformats.org/officeDocument/2006/relationships/hyperlink" Target="https://www.mdpi.com/2071-1050/12/14/5501" TargetMode="External"/><Relationship Id="rId4" Type="http://schemas.openxmlformats.org/officeDocument/2006/relationships/settings" Target="settings.xml"/><Relationship Id="rId9" Type="http://schemas.openxmlformats.org/officeDocument/2006/relationships/image" Target="media/image1.png"/><Relationship Id="rId26" Type="http://schemas.openxmlformats.org/officeDocument/2006/relationships/image" Target="media/image6.png"/><Relationship Id="rId47" Type="http://schemas.openxmlformats.org/officeDocument/2006/relationships/image" Target="media/image16.png"/><Relationship Id="rId68" Type="http://schemas.openxmlformats.org/officeDocument/2006/relationships/image" Target="media/image27.png"/><Relationship Id="rId89" Type="http://schemas.openxmlformats.org/officeDocument/2006/relationships/image" Target="media/image42.jpeg"/><Relationship Id="rId112" Type="http://schemas.openxmlformats.org/officeDocument/2006/relationships/hyperlink" Target="https://www.researchgate.net/publication/328799708_A_Bibliometric_Analysis_of_Studies_on_Medical_Radiation_Workers_Active_Authors_Hot_Topics_and_Malaysian_Works_in_the_Research_Landscape" TargetMode="External"/><Relationship Id="rId133"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krist\AppData\Roaming\Microsoft\Excel\Book1%20(version%201).xlsb"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teica\Box%20Sync\Ivana%20i%20Tea\SOR\knjiga\IoT%20platform%20selection%20(Responses)_SLO.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2BF-42A3-9111-53E92CE2F06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2BF-42A3-9111-53E92CE2F06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C2BF-42A3-9111-53E92CE2F06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C2BF-42A3-9111-53E92CE2F06F}"/>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C2BF-42A3-9111-53E92CE2F06F}"/>
              </c:ext>
            </c:extLst>
          </c:dPt>
          <c:cat>
            <c:strRef>
              <c:f>'type of publications on SC'!$A$22:$A$26</c:f>
              <c:strCache>
                <c:ptCount val="5"/>
                <c:pt idx="0">
                  <c:v>articles</c:v>
                </c:pt>
                <c:pt idx="1">
                  <c:v>proceedings papers</c:v>
                </c:pt>
                <c:pt idx="2">
                  <c:v>book chapters</c:v>
                </c:pt>
                <c:pt idx="3">
                  <c:v>review articles</c:v>
                </c:pt>
                <c:pt idx="4">
                  <c:v>other</c:v>
                </c:pt>
              </c:strCache>
            </c:strRef>
          </c:cat>
          <c:val>
            <c:numRef>
              <c:f>'type of publications on SC'!$B$22:$B$26</c:f>
              <c:numCache>
                <c:formatCode>General</c:formatCode>
                <c:ptCount val="5"/>
                <c:pt idx="0">
                  <c:v>5930</c:v>
                </c:pt>
                <c:pt idx="1">
                  <c:v>5205</c:v>
                </c:pt>
                <c:pt idx="2">
                  <c:v>396</c:v>
                </c:pt>
                <c:pt idx="3">
                  <c:v>366</c:v>
                </c:pt>
                <c:pt idx="4">
                  <c:v>538</c:v>
                </c:pt>
              </c:numCache>
            </c:numRef>
          </c:val>
          <c:extLst>
            <c:ext xmlns:c16="http://schemas.microsoft.com/office/drawing/2014/chart" uri="{C3380CC4-5D6E-409C-BE32-E72D297353CC}">
              <c16:uniqueId val="{0000000A-C2BF-42A3-9111-53E92CE2F06F}"/>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sr-Latn-R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r-HR"/>
              <a:t>Criteria</a:t>
            </a:r>
            <a:r>
              <a:rPr lang="hr-HR" baseline="0"/>
              <a:t> evaluation</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barChart>
        <c:barDir val="col"/>
        <c:grouping val="clustered"/>
        <c:varyColors val="0"/>
        <c:ser>
          <c:idx val="0"/>
          <c:order val="0"/>
          <c:tx>
            <c:strRef>
              <c:f>'HR-SLO odvojeno'!$B$23</c:f>
              <c:strCache>
                <c:ptCount val="1"/>
                <c:pt idx="0">
                  <c:v>Vendors SLO</c:v>
                </c:pt>
              </c:strCache>
            </c:strRef>
          </c:tx>
          <c:spPr>
            <a:solidFill>
              <a:schemeClr val="accent1"/>
            </a:solidFill>
            <a:ln>
              <a:noFill/>
            </a:ln>
            <a:effectLst/>
          </c:spPr>
          <c:invertIfNegative val="0"/>
          <c:cat>
            <c:strRef>
              <c:f>'HR-SLO odvojeno'!$A$24:$A$38</c:f>
              <c:strCache>
                <c:ptCount val="15"/>
                <c:pt idx="0">
                  <c:v>Device management</c:v>
                </c:pt>
                <c:pt idx="1">
                  <c:v>Integration flexibility</c:v>
                </c:pt>
                <c:pt idx="2">
                  <c:v>Platform availability</c:v>
                </c:pt>
                <c:pt idx="3">
                  <c:v>Platform functionalities </c:v>
                </c:pt>
                <c:pt idx="4">
                  <c:v>Platform portability</c:v>
                </c:pt>
                <c:pt idx="5">
                  <c:v>Platform price </c:v>
                </c:pt>
                <c:pt idx="6">
                  <c:v>Platform provider quality and reputation</c:v>
                </c:pt>
                <c:pt idx="7">
                  <c:v>Platform reliability</c:v>
                </c:pt>
                <c:pt idx="8">
                  <c:v>Platform scalability </c:v>
                </c:pt>
                <c:pt idx="9">
                  <c:v>Platform security</c:v>
                </c:pt>
                <c:pt idx="10">
                  <c:v>Platform usability</c:v>
                </c:pt>
                <c:pt idx="11">
                  <c:v>Standardization</c:v>
                </c:pt>
                <c:pt idx="12">
                  <c:v>Supportability (from vendor/provider)</c:v>
                </c:pt>
                <c:pt idx="13">
                  <c:v>Usefulness of visualization</c:v>
                </c:pt>
                <c:pt idx="14">
                  <c:v>Variety of data analytics tools / possibilities</c:v>
                </c:pt>
              </c:strCache>
            </c:strRef>
          </c:cat>
          <c:val>
            <c:numRef>
              <c:f>'HR-SLO odvojeno'!$B$24:$B$38</c:f>
              <c:numCache>
                <c:formatCode>General</c:formatCode>
                <c:ptCount val="15"/>
                <c:pt idx="0">
                  <c:v>6.340822440087146E-2</c:v>
                </c:pt>
                <c:pt idx="1">
                  <c:v>6.9923260971055085E-2</c:v>
                </c:pt>
                <c:pt idx="2">
                  <c:v>9.0967942732648618E-2</c:v>
                </c:pt>
                <c:pt idx="3">
                  <c:v>7.6911570183629013E-2</c:v>
                </c:pt>
                <c:pt idx="4">
                  <c:v>5.3895405384375969E-2</c:v>
                </c:pt>
                <c:pt idx="5">
                  <c:v>7.2803260192966082E-2</c:v>
                </c:pt>
                <c:pt idx="6">
                  <c:v>3.5686955337690632E-2</c:v>
                </c:pt>
                <c:pt idx="7">
                  <c:v>8.8846288515406158E-2</c:v>
                </c:pt>
                <c:pt idx="8">
                  <c:v>6.1162562247121077E-2</c:v>
                </c:pt>
                <c:pt idx="9">
                  <c:v>7.2086251167133519E-2</c:v>
                </c:pt>
                <c:pt idx="10">
                  <c:v>7.6407563025210082E-2</c:v>
                </c:pt>
                <c:pt idx="11">
                  <c:v>6.1395405384375976E-2</c:v>
                </c:pt>
                <c:pt idx="12">
                  <c:v>7.164040616246499E-2</c:v>
                </c:pt>
                <c:pt idx="13">
                  <c:v>5.752587145969499E-2</c:v>
                </c:pt>
                <c:pt idx="14">
                  <c:v>4.7339032835356364E-2</c:v>
                </c:pt>
              </c:numCache>
            </c:numRef>
          </c:val>
          <c:extLst>
            <c:ext xmlns:c16="http://schemas.microsoft.com/office/drawing/2014/chart" uri="{C3380CC4-5D6E-409C-BE32-E72D297353CC}">
              <c16:uniqueId val="{00000000-323A-41C4-B9D1-CC439E755770}"/>
            </c:ext>
          </c:extLst>
        </c:ser>
        <c:ser>
          <c:idx val="1"/>
          <c:order val="1"/>
          <c:tx>
            <c:strRef>
              <c:f>'HR-SLO odvojeno'!$C$23</c:f>
              <c:strCache>
                <c:ptCount val="1"/>
                <c:pt idx="0">
                  <c:v>Vendors HR</c:v>
                </c:pt>
              </c:strCache>
            </c:strRef>
          </c:tx>
          <c:spPr>
            <a:solidFill>
              <a:schemeClr val="accent2"/>
            </a:solidFill>
            <a:ln>
              <a:noFill/>
            </a:ln>
            <a:effectLst/>
          </c:spPr>
          <c:invertIfNegative val="0"/>
          <c:cat>
            <c:strRef>
              <c:f>'HR-SLO odvojeno'!$A$24:$A$38</c:f>
              <c:strCache>
                <c:ptCount val="15"/>
                <c:pt idx="0">
                  <c:v>Device management</c:v>
                </c:pt>
                <c:pt idx="1">
                  <c:v>Integration flexibility</c:v>
                </c:pt>
                <c:pt idx="2">
                  <c:v>Platform availability</c:v>
                </c:pt>
                <c:pt idx="3">
                  <c:v>Platform functionalities </c:v>
                </c:pt>
                <c:pt idx="4">
                  <c:v>Platform portability</c:v>
                </c:pt>
                <c:pt idx="5">
                  <c:v>Platform price </c:v>
                </c:pt>
                <c:pt idx="6">
                  <c:v>Platform provider quality and reputation</c:v>
                </c:pt>
                <c:pt idx="7">
                  <c:v>Platform reliability</c:v>
                </c:pt>
                <c:pt idx="8">
                  <c:v>Platform scalability </c:v>
                </c:pt>
                <c:pt idx="9">
                  <c:v>Platform security</c:v>
                </c:pt>
                <c:pt idx="10">
                  <c:v>Platform usability</c:v>
                </c:pt>
                <c:pt idx="11">
                  <c:v>Standardization</c:v>
                </c:pt>
                <c:pt idx="12">
                  <c:v>Supportability (from vendor/provider)</c:v>
                </c:pt>
                <c:pt idx="13">
                  <c:v>Usefulness of visualization</c:v>
                </c:pt>
                <c:pt idx="14">
                  <c:v>Variety of data analytics tools / possibilities</c:v>
                </c:pt>
              </c:strCache>
            </c:strRef>
          </c:cat>
          <c:val>
            <c:numRef>
              <c:f>'HR-SLO odvojeno'!$C$24:$C$38</c:f>
              <c:numCache>
                <c:formatCode>General</c:formatCode>
                <c:ptCount val="15"/>
                <c:pt idx="0">
                  <c:v>7.9113189463484807E-2</c:v>
                </c:pt>
                <c:pt idx="1">
                  <c:v>5.8679500085471528E-2</c:v>
                </c:pt>
                <c:pt idx="2">
                  <c:v>5.5584428201859326E-2</c:v>
                </c:pt>
                <c:pt idx="3">
                  <c:v>7.695532904055831E-2</c:v>
                </c:pt>
                <c:pt idx="4">
                  <c:v>6.8907204204471231E-2</c:v>
                </c:pt>
                <c:pt idx="5">
                  <c:v>7.8115165429998551E-2</c:v>
                </c:pt>
                <c:pt idx="6">
                  <c:v>5.1922745283091362E-2</c:v>
                </c:pt>
                <c:pt idx="7">
                  <c:v>6.982076789902851E-2</c:v>
                </c:pt>
                <c:pt idx="8">
                  <c:v>7.8987849365761559E-2</c:v>
                </c:pt>
                <c:pt idx="9">
                  <c:v>7.859468938052476E-2</c:v>
                </c:pt>
                <c:pt idx="10">
                  <c:v>7.2585278416184368E-2</c:v>
                </c:pt>
                <c:pt idx="11">
                  <c:v>5.5387329385811923E-2</c:v>
                </c:pt>
                <c:pt idx="12">
                  <c:v>5.1026438860981738E-2</c:v>
                </c:pt>
                <c:pt idx="13">
                  <c:v>5.9929990360384156E-2</c:v>
                </c:pt>
                <c:pt idx="14">
                  <c:v>6.4390094622387928E-2</c:v>
                </c:pt>
              </c:numCache>
            </c:numRef>
          </c:val>
          <c:extLst>
            <c:ext xmlns:c16="http://schemas.microsoft.com/office/drawing/2014/chart" uri="{C3380CC4-5D6E-409C-BE32-E72D297353CC}">
              <c16:uniqueId val="{00000001-323A-41C4-B9D1-CC439E755770}"/>
            </c:ext>
          </c:extLst>
        </c:ser>
        <c:ser>
          <c:idx val="2"/>
          <c:order val="2"/>
          <c:tx>
            <c:strRef>
              <c:f>'HR-SLO odvojeno'!$H$23</c:f>
              <c:strCache>
                <c:ptCount val="1"/>
                <c:pt idx="0">
                  <c:v>End-useres SLO</c:v>
                </c:pt>
              </c:strCache>
            </c:strRef>
          </c:tx>
          <c:spPr>
            <a:solidFill>
              <a:schemeClr val="accent3"/>
            </a:solidFill>
            <a:ln>
              <a:noFill/>
            </a:ln>
            <a:effectLst/>
          </c:spPr>
          <c:invertIfNegative val="0"/>
          <c:cat>
            <c:strRef>
              <c:f>'HR-SLO odvojeno'!$A$24:$A$38</c:f>
              <c:strCache>
                <c:ptCount val="15"/>
                <c:pt idx="0">
                  <c:v>Device management</c:v>
                </c:pt>
                <c:pt idx="1">
                  <c:v>Integration flexibility</c:v>
                </c:pt>
                <c:pt idx="2">
                  <c:v>Platform availability</c:v>
                </c:pt>
                <c:pt idx="3">
                  <c:v>Platform functionalities </c:v>
                </c:pt>
                <c:pt idx="4">
                  <c:v>Platform portability</c:v>
                </c:pt>
                <c:pt idx="5">
                  <c:v>Platform price </c:v>
                </c:pt>
                <c:pt idx="6">
                  <c:v>Platform provider quality and reputation</c:v>
                </c:pt>
                <c:pt idx="7">
                  <c:v>Platform reliability</c:v>
                </c:pt>
                <c:pt idx="8">
                  <c:v>Platform scalability </c:v>
                </c:pt>
                <c:pt idx="9">
                  <c:v>Platform security</c:v>
                </c:pt>
                <c:pt idx="10">
                  <c:v>Platform usability</c:v>
                </c:pt>
                <c:pt idx="11">
                  <c:v>Standardization</c:v>
                </c:pt>
                <c:pt idx="12">
                  <c:v>Supportability (from vendor/provider)</c:v>
                </c:pt>
                <c:pt idx="13">
                  <c:v>Usefulness of visualization</c:v>
                </c:pt>
                <c:pt idx="14">
                  <c:v>Variety of data analytics tools / possibilities</c:v>
                </c:pt>
              </c:strCache>
            </c:strRef>
          </c:cat>
          <c:val>
            <c:numRef>
              <c:f>'HR-SLO odvojeno'!$H$24:$H$38</c:f>
              <c:numCache>
                <c:formatCode>General</c:formatCode>
                <c:ptCount val="15"/>
                <c:pt idx="0">
                  <c:v>6.5365731605712879E-2</c:v>
                </c:pt>
                <c:pt idx="1">
                  <c:v>7.3975855395393003E-2</c:v>
                </c:pt>
                <c:pt idx="2">
                  <c:v>7.2051745881505327E-2</c:v>
                </c:pt>
                <c:pt idx="3">
                  <c:v>7.8149306857115075E-2</c:v>
                </c:pt>
                <c:pt idx="4">
                  <c:v>6.8402110845008968E-2</c:v>
                </c:pt>
                <c:pt idx="5">
                  <c:v>6.850140284064847E-2</c:v>
                </c:pt>
                <c:pt idx="6">
                  <c:v>5.1097309201722133E-2</c:v>
                </c:pt>
                <c:pt idx="7">
                  <c:v>6.2185340684790036E-2</c:v>
                </c:pt>
                <c:pt idx="8">
                  <c:v>7.6900541390540797E-2</c:v>
                </c:pt>
                <c:pt idx="9">
                  <c:v>7.7481478750262581E-2</c:v>
                </c:pt>
                <c:pt idx="10">
                  <c:v>7.4301087829339738E-2</c:v>
                </c:pt>
                <c:pt idx="11">
                  <c:v>5.718013224561902E-2</c:v>
                </c:pt>
                <c:pt idx="12">
                  <c:v>4.9937983107122372E-2</c:v>
                </c:pt>
                <c:pt idx="13">
                  <c:v>6.0929059277754868E-2</c:v>
                </c:pt>
                <c:pt idx="14">
                  <c:v>6.3540914087464706E-2</c:v>
                </c:pt>
              </c:numCache>
            </c:numRef>
          </c:val>
          <c:extLst>
            <c:ext xmlns:c16="http://schemas.microsoft.com/office/drawing/2014/chart" uri="{C3380CC4-5D6E-409C-BE32-E72D297353CC}">
              <c16:uniqueId val="{00000002-323A-41C4-B9D1-CC439E755770}"/>
            </c:ext>
          </c:extLst>
        </c:ser>
        <c:ser>
          <c:idx val="3"/>
          <c:order val="3"/>
          <c:tx>
            <c:strRef>
              <c:f>'HR-SLO odvojeno'!$I$23</c:f>
              <c:strCache>
                <c:ptCount val="1"/>
                <c:pt idx="0">
                  <c:v>End-users HRV</c:v>
                </c:pt>
              </c:strCache>
            </c:strRef>
          </c:tx>
          <c:spPr>
            <a:solidFill>
              <a:schemeClr val="accent4"/>
            </a:solidFill>
            <a:ln>
              <a:noFill/>
            </a:ln>
            <a:effectLst/>
          </c:spPr>
          <c:invertIfNegative val="0"/>
          <c:cat>
            <c:strRef>
              <c:f>'HR-SLO odvojeno'!$A$24:$A$38</c:f>
              <c:strCache>
                <c:ptCount val="15"/>
                <c:pt idx="0">
                  <c:v>Device management</c:v>
                </c:pt>
                <c:pt idx="1">
                  <c:v>Integration flexibility</c:v>
                </c:pt>
                <c:pt idx="2">
                  <c:v>Platform availability</c:v>
                </c:pt>
                <c:pt idx="3">
                  <c:v>Platform functionalities </c:v>
                </c:pt>
                <c:pt idx="4">
                  <c:v>Platform portability</c:v>
                </c:pt>
                <c:pt idx="5">
                  <c:v>Platform price </c:v>
                </c:pt>
                <c:pt idx="6">
                  <c:v>Platform provider quality and reputation</c:v>
                </c:pt>
                <c:pt idx="7">
                  <c:v>Platform reliability</c:v>
                </c:pt>
                <c:pt idx="8">
                  <c:v>Platform scalability </c:v>
                </c:pt>
                <c:pt idx="9">
                  <c:v>Platform security</c:v>
                </c:pt>
                <c:pt idx="10">
                  <c:v>Platform usability</c:v>
                </c:pt>
                <c:pt idx="11">
                  <c:v>Standardization</c:v>
                </c:pt>
                <c:pt idx="12">
                  <c:v>Supportability (from vendor/provider)</c:v>
                </c:pt>
                <c:pt idx="13">
                  <c:v>Usefulness of visualization</c:v>
                </c:pt>
                <c:pt idx="14">
                  <c:v>Variety of data analytics tools / possibilities</c:v>
                </c:pt>
              </c:strCache>
            </c:strRef>
          </c:cat>
          <c:val>
            <c:numRef>
              <c:f>'HR-SLO odvojeno'!$I$24:$I$38</c:f>
              <c:numCache>
                <c:formatCode>General</c:formatCode>
                <c:ptCount val="15"/>
                <c:pt idx="0">
                  <c:v>7.352676379888437E-2</c:v>
                </c:pt>
                <c:pt idx="1">
                  <c:v>6.4617945846924832E-2</c:v>
                </c:pt>
                <c:pt idx="2">
                  <c:v>5.6437558322608605E-2</c:v>
                </c:pt>
                <c:pt idx="3">
                  <c:v>7.9802643716068641E-2</c:v>
                </c:pt>
                <c:pt idx="4">
                  <c:v>7.5338358001782929E-2</c:v>
                </c:pt>
                <c:pt idx="5">
                  <c:v>6.6488800479659022E-2</c:v>
                </c:pt>
                <c:pt idx="6">
                  <c:v>5.7639242957535135E-2</c:v>
                </c:pt>
                <c:pt idx="7">
                  <c:v>6.5058247977781022E-2</c:v>
                </c:pt>
                <c:pt idx="8">
                  <c:v>7.5377864955006701E-2</c:v>
                </c:pt>
                <c:pt idx="9">
                  <c:v>7.7991049513170096E-2</c:v>
                </c:pt>
                <c:pt idx="10">
                  <c:v>7.1294620941741521E-2</c:v>
                </c:pt>
                <c:pt idx="11">
                  <c:v>5.172465126475953E-2</c:v>
                </c:pt>
                <c:pt idx="12">
                  <c:v>5.3536245467658075E-2</c:v>
                </c:pt>
                <c:pt idx="13">
                  <c:v>6.2425309943005748E-2</c:v>
                </c:pt>
                <c:pt idx="14">
                  <c:v>6.8740696813413771E-2</c:v>
                </c:pt>
              </c:numCache>
            </c:numRef>
          </c:val>
          <c:extLst>
            <c:ext xmlns:c16="http://schemas.microsoft.com/office/drawing/2014/chart" uri="{C3380CC4-5D6E-409C-BE32-E72D297353CC}">
              <c16:uniqueId val="{00000003-323A-41C4-B9D1-CC439E755770}"/>
            </c:ext>
          </c:extLst>
        </c:ser>
        <c:dLbls>
          <c:showLegendKey val="0"/>
          <c:showVal val="0"/>
          <c:showCatName val="0"/>
          <c:showSerName val="0"/>
          <c:showPercent val="0"/>
          <c:showBubbleSize val="0"/>
        </c:dLbls>
        <c:gapWidth val="219"/>
        <c:overlap val="-27"/>
        <c:axId val="529987952"/>
        <c:axId val="529994608"/>
      </c:barChart>
      <c:catAx>
        <c:axId val="529987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529994608"/>
        <c:crosses val="autoZero"/>
        <c:auto val="1"/>
        <c:lblAlgn val="ctr"/>
        <c:lblOffset val="100"/>
        <c:noMultiLvlLbl val="0"/>
      </c:catAx>
      <c:valAx>
        <c:axId val="5299946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529987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5052a45-223b-44f9-aa20-b55f2d266dd0">
  <we:reference id="WA104382081" version="1.46.0.0" store="en-US" storeType="omex"/>
  <we:alternateReferences/>
  <we:properties>
    <we:property name="MENDELEY_CITATIONS" value="[{&quot;citationID&quot;:&quot;MENDELEY_CITATION_b2ff8533-bc38-435d-9ff6-646b7a1922cf&quot;,&quot;properties&quot;:{&quot;noteIndex&quot;:0},&quot;isEdited&quot;:false,&quot;manualOverride&quot;:{&quot;isManuallyOverridden&quot;:false,&quot;citeprocText&quot;:&quot;(The World Bank, 2020)&quot;,&quot;manualOverrideText&quot;:&quot;&quot;},&quot;citationTag&quot;:&quot;MENDELEY_CITATION_v3_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&quot;,&quot;citationItems&quot;:[{&quot;id&quot;:&quot;9d64f181-0eea-3a4d-a7de-e136c7f04acd&quot;,&quot;itemData&quot;:{&quot;type&quot;:&quot;webpage&quot;,&quot;id&quot;:&quot;9d64f181-0eea-3a4d-a7de-e136c7f04acd&quot;,&quot;title&quot;:&quot;Urban Development Data&quot;,&quot;author&quot;:[{&quot;family&quot;:&quot;The World Bank&quot;,&quot;given&quot;:&quot;&quot;,&quot;parse-names&quot;:false,&quot;dropping-particle&quot;:&quot;&quot;,&quot;non-dropping-particle&quot;:&quot;&quot;}],&quot;accessed&quot;:{&quot;date-parts&quot;:[[2022,6,1]]},&quot;URL&quot;:&quot;https://data.worldbank.org/topic/urban-development?end=2021&amp;start=2000&quot;,&quot;issued&quot;:{&quot;date-parts&quot;:[[2020]]},&quot;container-title-short&quot;:&quot;&quot;},&quot;isTemporary&quot;:false}]},{&quot;citationID&quot;:&quot;MENDELEY_CITATION_6810b8fd-adea-47f3-a75c-c9c8d71f115e&quot;,&quot;properties&quot;:{&quot;noteIndex&quot;:0},&quot;isEdited&quot;:false,&quot;manualOverride&quot;:{&quot;isManuallyOverridden&quot;:false,&quot;citeprocText&quot;:&quot;(United Nations, 2020)&quot;,&quot;manualOverrideText&quot;:&quot;&quot;},&quot;citationTag&quot;:&quot;MENDELEY_CITATION_v3_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&quot;,&quot;citationItems&quot;:[{&quot;id&quot;:&quot;6a31355a-c70b-3266-b5b8-8c2fe8647fb2&quot;,&quot;itemData&quot;:{&quot;type&quot;:&quot;report&quot;,&quot;id&quot;:&quot;6a31355a-c70b-3266-b5b8-8c2fe8647fb2&quot;,&quot;title&quot;:&quot;World Cities Report 2020: The value of sustainable urbanization&quot;,&quot;author&quot;:[{&quot;family&quot;:&quot;United Nations&quot;,&quot;given&quot;:&quot;&quot;,&quot;parse-names&quot;:false,&quot;dropping-particle&quot;:&quot;&quot;,&quot;non-dropping-particle&quot;:&quot;&quot;}],&quot;accessed&quot;:{&quot;date-parts&quot;:[[2022,6,1]]},&quot;URL&quot;:&quot;https://unhabitat.org/sites/default/files/2020/10/wcr_2020_report.pdf&quot;,&quot;issued&quot;:{&quot;date-parts&quot;:[[2020]]},&quot;container-title-short&quot;:&quot;&quot;},&quot;isTemporary&quot;:false}]},{&quot;citationID&quot;:&quot;MENDELEY_CITATION_02b271b3-481c-4372-907f-3b53b4ee2101&quot;,&quot;properties&quot;:{&quot;noteIndex&quot;:0},&quot;isEdited&quot;:false,&quot;manualOverride&quot;:{&quot;isManuallyOverridden&quot;:false,&quot;citeprocText&quot;:&quot;(United Nations, 2020)&quot;,&quot;manualOverrideText&quot;:&quot;&quot;},&quot;citationTag&quot;:&quot;MENDELEY_CITATION_v3_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&quot;,&quot;citationItems&quot;:[{&quot;id&quot;:&quot;6a31355a-c70b-3266-b5b8-8c2fe8647fb2&quot;,&quot;itemData&quot;:{&quot;type&quot;:&quot;report&quot;,&quot;id&quot;:&quot;6a31355a-c70b-3266-b5b8-8c2fe8647fb2&quot;,&quot;title&quot;:&quot;World Cities Report 2020: The value of sustainable urbanization&quot;,&quot;author&quot;:[{&quot;family&quot;:&quot;United Nations&quot;,&quot;given&quot;:&quot;&quot;,&quot;parse-names&quot;:false,&quot;dropping-particle&quot;:&quot;&quot;,&quot;non-dropping-particle&quot;:&quot;&quot;}],&quot;accessed&quot;:{&quot;date-parts&quot;:[[2022,6,1]]},&quot;URL&quot;:&quot;https://unhabitat.org/sites/default/files/2020/10/wcr_2020_report.pdf&quot;,&quot;issued&quot;:{&quot;date-parts&quot;:[[2020]]},&quot;container-title-short&quot;:&quot;&quot;},&quot;isTemporary&quot;:false}]},{&quot;citationID&quot;:&quot;MENDELEY_CITATION_4c012de1-162f-44fa-9c4e-f6d53483bcf7&quot;,&quot;properties&quot;:{&quot;noteIndex&quot;:0},&quot;isEdited&quot;:false,&quot;manualOverride&quot;:{&quot;isManuallyOverridden&quot;:false,&quot;citeprocText&quot;:&quot;(United Nations, 2020)&quot;,&quot;manualOverrideText&quot;:&quot;&quot;},&quot;citationTag&quot;:&quot;MENDELEY_CITATION_v3_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&quot;,&quot;citationItems&quot;:[{&quot;id&quot;:&quot;6a31355a-c70b-3266-b5b8-8c2fe8647fb2&quot;,&quot;itemData&quot;:{&quot;type&quot;:&quot;report&quot;,&quot;id&quot;:&quot;6a31355a-c70b-3266-b5b8-8c2fe8647fb2&quot;,&quot;title&quot;:&quot;World Cities Report 2020: The value of sustainable urbanization&quot;,&quot;author&quot;:[{&quot;family&quot;:&quot;United Nations&quot;,&quot;given&quot;:&quot;&quot;,&quot;parse-names&quot;:false,&quot;dropping-particle&quot;:&quot;&quot;,&quot;non-dropping-particle&quot;:&quot;&quot;}],&quot;accessed&quot;:{&quot;date-parts&quot;:[[2022,6,1]]},&quot;URL&quot;:&quot;https://unhabitat.org/sites/default/files/2020/10/wcr_2020_report.pdf&quot;,&quot;issued&quot;:{&quot;date-parts&quot;:[[2020]]},&quot;container-title-short&quot;:&quot;&quot;},&quot;isTemporary&quot;:false}]},{&quot;citationID&quot;:&quot;MENDELEY_CITATION_bbf83865-92ab-4b7a-815f-05b50e532bd8&quot;,&quot;properties&quot;:{&quot;noteIndex&quot;:0},&quot;isEdited&quot;:false,&quot;manualOverride&quot;:{&quot;isManuallyOverridden&quot;:false,&quot;citeprocText&quot;:&quot;(Vacca, 2020)&quot;,&quot;manualOverrideText&quot;:&quot;&quot;},&quot;citationTag&quot;:&quot;MENDELEY_CITATION_v3_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&quot;,&quot;citationItems&quot;:[{&quot;id&quot;:&quot;b23ca85b-9156-37dd-a223-ed08c414191e&quot;,&quot;itemData&quot;:{&quot;type&quot;:&quot;book&quot;,&quot;id&quot;:&quot;b23ca85b-9156-37dd-a223-ed08c414191e&quot;,&quot;title&quot;:&quot;Solving urban infrastructure problems using smart city technologies: handbook on planning, design, development, and regulation&quot;,&quot;author&quot;:[{&quot;family&quot;:&quot;Vacca&quot;,&quot;given&quot;:&quot;John R.&quot;,&quot;parse-names&quot;:false,&quot;dropping-particle&quot;:&quot;&quot;,&quot;non-dropping-particle&quot;:&quot;&quot;}],&quot;accessed&quot;:{&quot;date-parts&quot;:[[2022,6,1]]},&quot;ISBN&quot;:&quot;9780128168172&quot;,&quot;issued&quot;:{&quot;date-parts&quot;:[[2020,9,18]]},&quot;edition&quot;:&quot;1&quot;,&quot;publisher&quot;:&quot;Elsevier&quot;,&quot;container-title-short&quot;:&quot;&quot;},&quot;isTemporary&quot;:false}]},{&quot;citationID&quot;:&quot;MENDELEY_CITATION_61e1ee60-a3c5-46f0-9f04-e6ede9a0ed96&quot;,&quot;properties&quot;:{&quot;noteIndex&quot;:0},&quot;isEdited&quot;:false,&quot;manualOverride&quot;:{&quot;isManuallyOverridden&quot;:false,&quot;citeprocText&quot;:&quot;(Clark &amp;#38; Cooke, 2020)&quot;,&quot;manualOverrideText&quot;:&quot;&quot;},&quot;citationTag&quot;:&quot;MENDELEY_CITATION_v3_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&quot;,&quot;citationItems&quot;:[{&quot;id&quot;:&quot;c311a3c6-26b5-363a-acea-465d50b37612&quot;,&quot;itemData&quot;:{&quot;type&quot;:&quot;book&quot;,&quot;id&quot;:&quot;c311a3c6-26b5-363a-acea-465d50b37612&quot;,&quot;title&quot;:&quot;Smart green cities: toward a carbon neutral world&quot;,&quot;author&quot;:[{&quot;family&quot;:&quot;Clark&quot;,&quot;given&quot;:&quot;Woodrow Wilson II.&quot;,&quot;parse-names&quot;:false,&quot;dropping-particle&quot;:&quot;&quot;,&quot;non-dropping-particle&quot;:&quot;&quot;},{&quot;family&quot;:&quot;Cooke&quot;,&quot;given&quot;:&quot;Grant.&quot;,&quot;parse-names&quot;:false,&quot;dropping-particle&quot;:&quot;&quot;,&quot;non-dropping-particle&quot;:&quot;&quot;}],&quot;accessed&quot;:{&quot;date-parts&quot;:[[2022,6,1]]},&quot;ISBN&quot;:&quot;9780367606039&quot;,&quot;URL&quot;:&quot;https://www.routledge.com/Smart-Green-Cities-Toward-a-Carbon-Neutral-World/II-Cooke/p/book/9780367606039&quot;,&quot;issued&quot;:{&quot;date-parts&quot;:[[2020,6,30]]},&quot;publisher&quot;:&quot;Routledge&quot;,&quot;container-title-short&quot;:&quot;&quot;},&quot;isTemporary&quot;:false}]}]"/>
    <we:property name="MENDELEY_CITATIONS_STYLE" value="{&quot;id&quot;:&quot;https://www.zotero.org/styles/apa&quot;,&quot;title&quot;:&quot;American Psychological Association 7th edition&quot;,&quot;format&quot;:&quot;author-date&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BEB27C-6C6A-4654-9134-052F7F3E5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109735</Words>
  <Characters>625493</Characters>
  <Application>Microsoft Office Word</Application>
  <DocSecurity>0</DocSecurity>
  <Lines>5212</Lines>
  <Paragraphs>1467</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Ekonomska fakulteta, Univerza Ljubljana</Company>
  <LinksUpToDate>false</LinksUpToDate>
  <CharactersWithSpaces>733761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Manfreda, Anton</dc:creator>
  <cp:keywords/>
  <dc:description/>
  <cp:lastModifiedBy>Maja Ćukušić</cp:lastModifiedBy>
  <cp:revision>3</cp:revision>
  <dcterms:created xsi:type="dcterms:W3CDTF">2022-08-31T14:29:00Z</dcterms:created>
  <dcterms:modified xsi:type="dcterms:W3CDTF">2022-08-31T14:29:00Z</dcterms:modified>
</cp:coreProperties>
</file>